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2CD1B8">
      <w:pPr>
        <w:spacing w:line="600" w:lineRule="exact"/>
        <w:jc w:val="center"/>
        <w:rPr>
          <w:rFonts w:eastAsia="方正小标宋简体"/>
          <w:sz w:val="44"/>
          <w:szCs w:val="44"/>
        </w:rPr>
      </w:pPr>
    </w:p>
    <w:p w14:paraId="7F9C638D">
      <w:pPr>
        <w:spacing w:line="600" w:lineRule="exact"/>
        <w:jc w:val="center"/>
        <w:rPr>
          <w:rFonts w:eastAsia="方正小标宋简体"/>
          <w:sz w:val="44"/>
          <w:szCs w:val="44"/>
        </w:rPr>
      </w:pPr>
    </w:p>
    <w:p w14:paraId="55C11ECE">
      <w:pPr>
        <w:spacing w:line="600" w:lineRule="exact"/>
        <w:jc w:val="center"/>
        <w:rPr>
          <w:rFonts w:eastAsia="方正小标宋简体"/>
          <w:sz w:val="44"/>
          <w:szCs w:val="44"/>
        </w:rPr>
      </w:pPr>
    </w:p>
    <w:p w14:paraId="6EA973C2">
      <w:pPr>
        <w:spacing w:line="600" w:lineRule="exact"/>
        <w:jc w:val="center"/>
        <w:rPr>
          <w:rFonts w:eastAsia="方正小标宋简体"/>
          <w:sz w:val="44"/>
          <w:szCs w:val="44"/>
        </w:rPr>
      </w:pPr>
    </w:p>
    <w:p w14:paraId="055E94C8">
      <w:pPr>
        <w:spacing w:line="600" w:lineRule="exact"/>
        <w:jc w:val="center"/>
        <w:rPr>
          <w:rFonts w:eastAsia="方正小标宋简体"/>
          <w:sz w:val="44"/>
          <w:szCs w:val="44"/>
        </w:rPr>
      </w:pPr>
    </w:p>
    <w:p w14:paraId="4E95DDCE">
      <w:pPr>
        <w:spacing w:line="600" w:lineRule="exact"/>
        <w:jc w:val="center"/>
        <w:rPr>
          <w:rFonts w:eastAsia="方正小标宋简体"/>
          <w:sz w:val="44"/>
          <w:szCs w:val="44"/>
        </w:rPr>
      </w:pPr>
    </w:p>
    <w:p w14:paraId="4D1CA3E3">
      <w:pPr>
        <w:spacing w:line="600" w:lineRule="exact"/>
        <w:jc w:val="center"/>
        <w:rPr>
          <w:rFonts w:eastAsia="方正小标宋简体"/>
          <w:sz w:val="44"/>
          <w:szCs w:val="44"/>
        </w:rPr>
      </w:pPr>
    </w:p>
    <w:p w14:paraId="6A76A52D">
      <w:pPr>
        <w:spacing w:line="600" w:lineRule="exact"/>
        <w:jc w:val="center"/>
        <w:rPr>
          <w:rFonts w:eastAsia="方正小标宋简体"/>
          <w:sz w:val="44"/>
          <w:szCs w:val="44"/>
        </w:rPr>
      </w:pPr>
    </w:p>
    <w:p w14:paraId="6FC1A630">
      <w:pPr>
        <w:spacing w:line="600" w:lineRule="exact"/>
        <w:jc w:val="center"/>
        <w:rPr>
          <w:rFonts w:eastAsia="方正小标宋简体"/>
          <w:sz w:val="44"/>
          <w:szCs w:val="44"/>
        </w:rPr>
      </w:pPr>
    </w:p>
    <w:p w14:paraId="3D91A4CB">
      <w:pPr>
        <w:spacing w:line="600" w:lineRule="exact"/>
        <w:jc w:val="center"/>
        <w:rPr>
          <w:rFonts w:eastAsia="方正小标宋简体"/>
          <w:sz w:val="44"/>
          <w:szCs w:val="44"/>
        </w:rPr>
      </w:pPr>
    </w:p>
    <w:p w14:paraId="2D63EC2F">
      <w:pPr>
        <w:spacing w:line="600" w:lineRule="exact"/>
        <w:jc w:val="center"/>
        <w:rPr>
          <w:rFonts w:hint="eastAsia" w:eastAsia="方正小标宋简体"/>
          <w:sz w:val="44"/>
          <w:szCs w:val="44"/>
          <w:u w:val="single"/>
        </w:rPr>
        <w:sectPr>
          <w:footerReference r:id="rId3" w:type="even"/>
          <w:pgSz w:w="11906" w:h="16838"/>
          <w:pgMar w:top="1247" w:right="1542" w:bottom="1247" w:left="2098" w:header="851" w:footer="992" w:gutter="0"/>
          <w:pgNumType w:fmt="numberInDash" w:start="1"/>
          <w:cols w:space="720" w:num="1"/>
          <w:docGrid w:type="lines" w:linePitch="435" w:charSpace="0"/>
        </w:sectPr>
      </w:pPr>
      <w:r>
        <w:rPr>
          <w:rFonts w:hint="eastAsia" w:eastAsia="方正小标宋简体"/>
          <w:sz w:val="44"/>
          <w:szCs w:val="44"/>
        </w:rPr>
        <w:t>四川攀枝花苏铁国家级自然保护区保护中心</w:t>
      </w:r>
      <w:r>
        <w:rPr>
          <w:rFonts w:eastAsia="方正小标宋简体"/>
          <w:sz w:val="44"/>
          <w:szCs w:val="44"/>
        </w:rPr>
        <w:t>202</w:t>
      </w:r>
      <w:r>
        <w:rPr>
          <w:rFonts w:hint="eastAsia" w:eastAsia="方正小标宋简体"/>
          <w:sz w:val="44"/>
          <w:szCs w:val="44"/>
          <w:lang w:val="en-US" w:eastAsia="zh-CN"/>
        </w:rPr>
        <w:t>1</w:t>
      </w:r>
      <w:r>
        <w:rPr>
          <w:rFonts w:eastAsia="方正小标宋简体"/>
          <w:sz w:val="44"/>
          <w:szCs w:val="44"/>
        </w:rPr>
        <w:t>年</w:t>
      </w:r>
      <w:r>
        <w:rPr>
          <w:rFonts w:hint="eastAsia" w:eastAsia="方正小标宋简体"/>
          <w:sz w:val="44"/>
          <w:szCs w:val="44"/>
        </w:rPr>
        <w:t>单位</w:t>
      </w:r>
      <w:r>
        <w:rPr>
          <w:rFonts w:eastAsia="方正小标宋简体"/>
          <w:sz w:val="44"/>
          <w:szCs w:val="44"/>
        </w:rPr>
        <w:t>预算编制说明</w:t>
      </w:r>
    </w:p>
    <w:p w14:paraId="3D8105F0">
      <w:pPr>
        <w:spacing w:line="520" w:lineRule="exact"/>
        <w:jc w:val="center"/>
        <w:rPr>
          <w:rFonts w:hint="eastAsia" w:eastAsia="黑体"/>
        </w:rPr>
      </w:pPr>
      <w:r>
        <w:rPr>
          <w:rFonts w:hint="eastAsia" w:eastAsia="黑体"/>
        </w:rPr>
        <w:t>目录</w:t>
      </w:r>
    </w:p>
    <w:p w14:paraId="33E4C6D2">
      <w:pPr>
        <w:spacing w:line="520" w:lineRule="exact"/>
        <w:ind w:firstLine="640" w:firstLineChars="200"/>
        <w:jc w:val="center"/>
        <w:rPr>
          <w:rFonts w:hint="eastAsia" w:eastAsia="黑体"/>
        </w:rPr>
      </w:pPr>
    </w:p>
    <w:p w14:paraId="76458ADC">
      <w:pPr>
        <w:spacing w:line="520" w:lineRule="exact"/>
        <w:jc w:val="left"/>
        <w:rPr>
          <w:rFonts w:eastAsia="楷体_GB2312"/>
        </w:rPr>
      </w:pPr>
      <w:r>
        <w:rPr>
          <w:rFonts w:eastAsia="楷体_GB2312"/>
        </w:rPr>
        <w:t xml:space="preserve">一、基本职能及主要工作            </w:t>
      </w:r>
      <w:r>
        <w:rPr>
          <w:rFonts w:hint="eastAsia" w:eastAsia="楷体_GB2312"/>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2</w:t>
      </w:r>
    </w:p>
    <w:p w14:paraId="06814E95">
      <w:pPr>
        <w:spacing w:line="520" w:lineRule="exact"/>
        <w:ind w:firstLine="640" w:firstLineChars="200"/>
        <w:jc w:val="left"/>
      </w:pPr>
      <w:r>
        <w:t>（一）</w:t>
      </w:r>
      <w:r>
        <w:rPr>
          <w:rFonts w:hint="eastAsia"/>
        </w:rPr>
        <w:t xml:space="preserve">苏铁保护中心职能简介   </w:t>
      </w:r>
      <w:r>
        <w:t xml:space="preserve">    </w:t>
      </w:r>
      <w:r>
        <w:rPr>
          <w:rFonts w:hint="eastAsia"/>
        </w:rPr>
        <w:t xml:space="preserve">  </w:t>
      </w:r>
      <w:r>
        <w:t xml:space="preserve">         </w:t>
      </w:r>
      <w:r>
        <w:rPr>
          <w:rFonts w:hint="eastAsia"/>
        </w:rPr>
        <w:t xml:space="preserve"> </w:t>
      </w:r>
      <w:r>
        <w:t xml:space="preserve"> </w:t>
      </w:r>
      <w:r>
        <w:rPr>
          <w:rFonts w:hint="eastAsia"/>
        </w:rPr>
        <w:t xml:space="preserve"> 2</w:t>
      </w:r>
    </w:p>
    <w:p w14:paraId="5776E6D0">
      <w:pPr>
        <w:spacing w:line="520" w:lineRule="exact"/>
        <w:ind w:firstLine="640" w:firstLineChars="200"/>
        <w:jc w:val="left"/>
        <w:rPr>
          <w:rFonts w:hint="eastAsia"/>
        </w:rPr>
      </w:pPr>
      <w:r>
        <w:t>（二）</w:t>
      </w:r>
      <w:r>
        <w:rPr>
          <w:rFonts w:hint="eastAsia"/>
        </w:rPr>
        <w:t>苏铁保护中心</w:t>
      </w:r>
      <w:r>
        <w:t>202</w:t>
      </w:r>
      <w:r>
        <w:rPr>
          <w:rFonts w:hint="eastAsia"/>
          <w:lang w:val="en-US" w:eastAsia="zh-CN"/>
        </w:rPr>
        <w:t>1</w:t>
      </w:r>
      <w:r>
        <w:t xml:space="preserve">年重点工作 </w:t>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2</w:t>
      </w:r>
    </w:p>
    <w:p w14:paraId="4C8D5DC9">
      <w:pPr>
        <w:spacing w:line="520" w:lineRule="exact"/>
        <w:ind w:firstLine="640" w:firstLineChars="200"/>
        <w:jc w:val="left"/>
      </w:pPr>
      <w:r>
        <w:t>（</w:t>
      </w:r>
      <w:r>
        <w:rPr>
          <w:rFonts w:hint="eastAsia"/>
        </w:rPr>
        <w:t>三</w:t>
      </w:r>
      <w:r>
        <w:t>）</w:t>
      </w:r>
      <w:r>
        <w:rPr>
          <w:rFonts w:hint="eastAsia"/>
        </w:rPr>
        <w:t>机构设置情况                             2</w:t>
      </w:r>
    </w:p>
    <w:p w14:paraId="1B4F076D">
      <w:pPr>
        <w:spacing w:line="520" w:lineRule="exact"/>
        <w:jc w:val="left"/>
        <w:rPr>
          <w:rFonts w:eastAsia="楷体_GB2312"/>
        </w:rPr>
      </w:pPr>
      <w:r>
        <w:rPr>
          <w:rFonts w:hint="eastAsia" w:eastAsia="楷体_GB2312"/>
        </w:rPr>
        <w:t>二</w:t>
      </w:r>
      <w:r>
        <w:rPr>
          <w:rFonts w:eastAsia="楷体_GB2312"/>
        </w:rPr>
        <w:t xml:space="preserve">、收支预算情况说明               </w:t>
      </w:r>
      <w:r>
        <w:rPr>
          <w:rFonts w:hint="eastAsia" w:eastAsia="楷体_GB2312"/>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3</w:t>
      </w:r>
    </w:p>
    <w:p w14:paraId="4BE4BBDC">
      <w:pPr>
        <w:spacing w:line="520" w:lineRule="exact"/>
        <w:ind w:firstLine="640" w:firstLineChars="200"/>
        <w:jc w:val="left"/>
      </w:pPr>
      <w:r>
        <w:t xml:space="preserve">（一）收入预算情况             </w:t>
      </w:r>
      <w:r>
        <w:rPr>
          <w:rFonts w:hint="eastAsia"/>
        </w:rPr>
        <w:t xml:space="preserve">       </w:t>
      </w:r>
      <w:r>
        <w:t xml:space="preserve">      </w:t>
      </w:r>
      <w:r>
        <w:rPr>
          <w:rFonts w:hint="eastAsia"/>
        </w:rPr>
        <w:t xml:space="preserve"> </w:t>
      </w:r>
      <w:r>
        <w:t xml:space="preserve">  </w:t>
      </w:r>
      <w:r>
        <w:rPr>
          <w:rFonts w:hint="eastAsia"/>
        </w:rPr>
        <w:t>3</w:t>
      </w:r>
    </w:p>
    <w:p w14:paraId="3A1ABCFF">
      <w:pPr>
        <w:spacing w:line="520" w:lineRule="exact"/>
        <w:ind w:firstLine="640" w:firstLineChars="200"/>
        <w:jc w:val="left"/>
        <w:rPr>
          <w:b/>
          <w:bCs/>
        </w:rPr>
      </w:pPr>
      <w:r>
        <w:t xml:space="preserve">（二）支出预算情况                    </w:t>
      </w:r>
      <w:r>
        <w:rPr>
          <w:rFonts w:hint="eastAsia"/>
        </w:rPr>
        <w:t xml:space="preserve">         3</w:t>
      </w:r>
    </w:p>
    <w:p w14:paraId="15AA09EE">
      <w:pPr>
        <w:spacing w:line="520" w:lineRule="exact"/>
        <w:jc w:val="left"/>
        <w:rPr>
          <w:rFonts w:eastAsia="楷体_GB2312"/>
        </w:rPr>
      </w:pPr>
      <w:r>
        <w:rPr>
          <w:rFonts w:hint="eastAsia" w:eastAsia="楷体_GB2312"/>
        </w:rPr>
        <w:t>三</w:t>
      </w:r>
      <w:r>
        <w:rPr>
          <w:rFonts w:eastAsia="楷体_GB2312"/>
        </w:rPr>
        <w:t xml:space="preserve">、财政拨款收支预算情况说明      </w:t>
      </w:r>
      <w:r>
        <w:rPr>
          <w:rFonts w:hint="eastAsia" w:eastAsia="楷体_GB2312"/>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3</w:t>
      </w:r>
    </w:p>
    <w:p w14:paraId="30CD696A">
      <w:pPr>
        <w:spacing w:line="520" w:lineRule="exact"/>
        <w:jc w:val="left"/>
        <w:rPr>
          <w:rFonts w:eastAsia="楷体_GB2312"/>
        </w:rPr>
      </w:pPr>
      <w:r>
        <w:rPr>
          <w:rFonts w:hint="eastAsia" w:eastAsia="楷体_GB2312"/>
        </w:rPr>
        <w:t>四</w:t>
      </w:r>
      <w:r>
        <w:rPr>
          <w:rFonts w:eastAsia="楷体_GB2312"/>
        </w:rPr>
        <w:t xml:space="preserve">、一般公共预算当年拨款情况说明   </w:t>
      </w:r>
      <w:r>
        <w:rPr>
          <w:rFonts w:hint="eastAsia" w:eastAsia="楷体_GB2312"/>
        </w:rPr>
        <w:t xml:space="preserve">            </w:t>
      </w:r>
      <w:r>
        <w:rPr>
          <w:rFonts w:eastAsia="楷体_GB2312"/>
        </w:rPr>
        <w:t xml:space="preserve">    </w:t>
      </w:r>
      <w:r>
        <w:rPr>
          <w:rFonts w:hint="eastAsia" w:eastAsia="楷体_GB2312"/>
        </w:rPr>
        <w:t>3</w:t>
      </w:r>
    </w:p>
    <w:p w14:paraId="0D9B2CA0">
      <w:pPr>
        <w:spacing w:line="520" w:lineRule="exact"/>
        <w:ind w:firstLine="640" w:firstLineChars="200"/>
        <w:jc w:val="left"/>
      </w:pPr>
      <w:r>
        <w:t xml:space="preserve">（一）一般公共预算当年拨款规模变化情况   </w:t>
      </w:r>
      <w:r>
        <w:rPr>
          <w:rFonts w:hint="eastAsia"/>
        </w:rPr>
        <w:t xml:space="preserve">    </w:t>
      </w:r>
      <w:r>
        <w:t xml:space="preserve">  </w:t>
      </w:r>
      <w:r>
        <w:rPr>
          <w:rFonts w:hint="eastAsia"/>
        </w:rPr>
        <w:t>3</w:t>
      </w:r>
    </w:p>
    <w:p w14:paraId="50F7BD5E">
      <w:pPr>
        <w:spacing w:line="520" w:lineRule="exact"/>
        <w:ind w:firstLine="640" w:firstLineChars="200"/>
        <w:jc w:val="left"/>
      </w:pPr>
      <w:r>
        <w:t xml:space="preserve">（二）一般公共预算当年拨款结构情况    </w:t>
      </w:r>
      <w:r>
        <w:rPr>
          <w:rFonts w:hint="eastAsia"/>
        </w:rPr>
        <w:t xml:space="preserve">         4</w:t>
      </w:r>
    </w:p>
    <w:p w14:paraId="7C1584CE">
      <w:pPr>
        <w:spacing w:line="520" w:lineRule="exact"/>
        <w:ind w:firstLine="640" w:firstLineChars="200"/>
        <w:jc w:val="left"/>
      </w:pPr>
      <w:r>
        <w:t xml:space="preserve">（三）一般公共预算当年拨款具体使用情况 </w:t>
      </w:r>
      <w:r>
        <w:rPr>
          <w:rFonts w:hint="eastAsia"/>
        </w:rPr>
        <w:t xml:space="preserve">    </w:t>
      </w:r>
      <w:r>
        <w:t xml:space="preserve">   </w:t>
      </w:r>
      <w:r>
        <w:rPr>
          <w:rFonts w:hint="eastAsia"/>
        </w:rPr>
        <w:t xml:space="preserve"> 4</w:t>
      </w:r>
    </w:p>
    <w:p w14:paraId="08506C86">
      <w:pPr>
        <w:spacing w:line="520" w:lineRule="exact"/>
        <w:jc w:val="left"/>
        <w:rPr>
          <w:rFonts w:eastAsia="楷体_GB2312"/>
        </w:rPr>
      </w:pPr>
      <w:r>
        <w:rPr>
          <w:rFonts w:hint="eastAsia" w:eastAsia="楷体_GB2312"/>
        </w:rPr>
        <w:t>五</w:t>
      </w:r>
      <w:r>
        <w:rPr>
          <w:rFonts w:eastAsia="楷体_GB2312"/>
        </w:rPr>
        <w:t xml:space="preserve">、一般公共预算基本支出情况说明       </w:t>
      </w:r>
      <w:r>
        <w:rPr>
          <w:rFonts w:hint="eastAsia" w:eastAsia="楷体_GB2312"/>
        </w:rPr>
        <w:t xml:space="preserve">            4</w:t>
      </w:r>
    </w:p>
    <w:p w14:paraId="63287C04">
      <w:pPr>
        <w:spacing w:line="520" w:lineRule="exact"/>
        <w:jc w:val="left"/>
        <w:rPr>
          <w:rFonts w:eastAsia="楷体_GB2312"/>
        </w:rPr>
      </w:pPr>
      <w:r>
        <w:rPr>
          <w:rFonts w:hint="eastAsia" w:eastAsia="楷体_GB2312"/>
        </w:rPr>
        <w:t>六</w:t>
      </w:r>
      <w:r>
        <w:rPr>
          <w:rFonts w:eastAsia="楷体_GB2312"/>
        </w:rPr>
        <w:t xml:space="preserve">、“三公”经费财政拨款预算安排情况说明      </w:t>
      </w:r>
      <w:r>
        <w:rPr>
          <w:rFonts w:hint="eastAsia" w:eastAsia="楷体_GB2312"/>
        </w:rPr>
        <w:t xml:space="preserve">       5</w:t>
      </w:r>
    </w:p>
    <w:p w14:paraId="502731BB">
      <w:pPr>
        <w:spacing w:line="520" w:lineRule="exact"/>
        <w:jc w:val="left"/>
        <w:rPr>
          <w:rFonts w:eastAsia="楷体_GB2312"/>
        </w:rPr>
      </w:pPr>
      <w:r>
        <w:rPr>
          <w:rFonts w:hint="eastAsia" w:eastAsia="楷体_GB2312"/>
        </w:rPr>
        <w:t>七</w:t>
      </w:r>
      <w:r>
        <w:rPr>
          <w:rFonts w:eastAsia="楷体_GB2312"/>
        </w:rPr>
        <w:t xml:space="preserve">、政府性基金预算支出情况说明      </w:t>
      </w:r>
      <w:r>
        <w:rPr>
          <w:rFonts w:hint="eastAsia" w:eastAsia="楷体_GB2312"/>
        </w:rPr>
        <w:t xml:space="preserve">               5</w:t>
      </w:r>
    </w:p>
    <w:p w14:paraId="6A4940CA">
      <w:pPr>
        <w:spacing w:line="520" w:lineRule="exact"/>
        <w:jc w:val="left"/>
        <w:rPr>
          <w:rFonts w:eastAsia="楷体_GB2312"/>
        </w:rPr>
      </w:pPr>
      <w:r>
        <w:rPr>
          <w:rFonts w:hint="eastAsia" w:eastAsia="楷体_GB2312"/>
        </w:rPr>
        <w:t>八</w:t>
      </w:r>
      <w:r>
        <w:rPr>
          <w:rFonts w:eastAsia="楷体_GB2312"/>
        </w:rPr>
        <w:t xml:space="preserve">、国有资本经营预算情况说明       </w:t>
      </w:r>
      <w:r>
        <w:rPr>
          <w:rFonts w:hint="eastAsia" w:eastAsia="楷体_GB2312"/>
        </w:rPr>
        <w:t xml:space="preserve">                5</w:t>
      </w:r>
    </w:p>
    <w:p w14:paraId="4EF687B4">
      <w:pPr>
        <w:spacing w:line="520" w:lineRule="exact"/>
        <w:jc w:val="left"/>
        <w:rPr>
          <w:rFonts w:eastAsia="楷体_GB2312"/>
        </w:rPr>
      </w:pPr>
      <w:r>
        <w:rPr>
          <w:rFonts w:hint="eastAsia" w:eastAsia="楷体_GB2312"/>
        </w:rPr>
        <w:t>九</w:t>
      </w:r>
      <w:r>
        <w:rPr>
          <w:rFonts w:eastAsia="楷体_GB2312"/>
        </w:rPr>
        <w:t xml:space="preserve">、其他重要事项的情况说明         </w:t>
      </w:r>
      <w:r>
        <w:rPr>
          <w:rFonts w:hint="eastAsia" w:eastAsia="楷体_GB2312"/>
        </w:rPr>
        <w:t xml:space="preserve">                6</w:t>
      </w:r>
    </w:p>
    <w:p w14:paraId="5E5B8AB0">
      <w:pPr>
        <w:spacing w:line="520" w:lineRule="exact"/>
        <w:ind w:firstLine="640" w:firstLineChars="200"/>
        <w:jc w:val="left"/>
      </w:pPr>
      <w:r>
        <w:t>（一）机关运行经费</w:t>
      </w:r>
      <w:r>
        <w:rPr>
          <w:rFonts w:hint="eastAsia"/>
        </w:rPr>
        <w:t xml:space="preserve">                             6</w:t>
      </w:r>
    </w:p>
    <w:p w14:paraId="037498D4">
      <w:pPr>
        <w:spacing w:line="520" w:lineRule="exact"/>
        <w:ind w:firstLine="640" w:firstLineChars="200"/>
        <w:jc w:val="left"/>
      </w:pPr>
      <w:r>
        <w:t xml:space="preserve">（二）政府采购情况     </w:t>
      </w:r>
      <w:r>
        <w:rPr>
          <w:rFonts w:hint="eastAsia"/>
        </w:rPr>
        <w:t xml:space="preserve">                        6</w:t>
      </w:r>
    </w:p>
    <w:p w14:paraId="639C8587">
      <w:pPr>
        <w:spacing w:line="520" w:lineRule="exact"/>
        <w:ind w:firstLine="640" w:firstLineChars="200"/>
        <w:jc w:val="left"/>
      </w:pPr>
      <w:r>
        <w:t xml:space="preserve">（三）国有资产占有使用情况      </w:t>
      </w:r>
      <w:r>
        <w:rPr>
          <w:rFonts w:hint="eastAsia"/>
        </w:rPr>
        <w:t xml:space="preserve">               6</w:t>
      </w:r>
    </w:p>
    <w:p w14:paraId="7EDC6FAA">
      <w:pPr>
        <w:spacing w:line="520" w:lineRule="exact"/>
        <w:ind w:firstLine="640" w:firstLineChars="200"/>
        <w:jc w:val="left"/>
      </w:pPr>
      <w:r>
        <w:t xml:space="preserve">（四）绩效目标设置情况     </w:t>
      </w:r>
      <w:r>
        <w:rPr>
          <w:rFonts w:hint="eastAsia"/>
        </w:rPr>
        <w:t xml:space="preserve">                    6</w:t>
      </w:r>
    </w:p>
    <w:p w14:paraId="66B955A9">
      <w:pPr>
        <w:spacing w:line="520" w:lineRule="exact"/>
        <w:jc w:val="left"/>
        <w:rPr>
          <w:rFonts w:eastAsia="楷体_GB2312"/>
        </w:rPr>
      </w:pPr>
      <w:r>
        <w:rPr>
          <w:rFonts w:eastAsia="楷体_GB2312"/>
        </w:rPr>
        <w:t xml:space="preserve">十、名词解释          </w:t>
      </w:r>
      <w:r>
        <w:rPr>
          <w:rFonts w:hint="eastAsia" w:eastAsia="楷体_GB2312"/>
        </w:rPr>
        <w:t xml:space="preserve">   </w:t>
      </w:r>
      <w:r>
        <w:rPr>
          <w:rFonts w:eastAsia="楷体_GB2312"/>
        </w:rPr>
        <w:t xml:space="preserve">           </w:t>
      </w:r>
      <w:r>
        <w:rPr>
          <w:rFonts w:hint="eastAsia" w:eastAsia="楷体_GB2312"/>
        </w:rPr>
        <w:t xml:space="preserve">               6</w:t>
      </w:r>
    </w:p>
    <w:p w14:paraId="3856F612">
      <w:pPr>
        <w:spacing w:line="520" w:lineRule="exact"/>
        <w:jc w:val="left"/>
        <w:rPr>
          <w:rFonts w:hint="eastAsia" w:ascii="方正小标宋简体" w:hAnsi="宋体" w:eastAsia="方正小标宋简体"/>
          <w:sz w:val="44"/>
          <w:szCs w:val="44"/>
        </w:rPr>
        <w:sectPr>
          <w:pgSz w:w="11906" w:h="16838"/>
          <w:pgMar w:top="1440" w:right="1800" w:bottom="1440" w:left="1800" w:header="851" w:footer="992" w:gutter="0"/>
          <w:cols w:space="425" w:num="1"/>
          <w:docGrid w:type="lines" w:linePitch="312" w:charSpace="0"/>
        </w:sectPr>
      </w:pPr>
      <w:r>
        <w:rPr>
          <w:rFonts w:hint="eastAsia" w:eastAsia="楷体_GB2312"/>
        </w:rPr>
        <w:t>附件                                              7</w:t>
      </w:r>
    </w:p>
    <w:p w14:paraId="3B8FFBEE">
      <w:pPr>
        <w:pStyle w:val="2"/>
        <w:adjustRightInd w:val="0"/>
        <w:spacing w:before="93" w:line="600" w:lineRule="exact"/>
        <w:rPr>
          <w:rFonts w:ascii="黑体" w:eastAsia="黑体"/>
        </w:rPr>
      </w:pPr>
      <w:r>
        <w:rPr>
          <w:rFonts w:hint="eastAsia" w:ascii="宋体" w:hAnsi="宋体" w:eastAsia="宋体"/>
          <w:b/>
          <w:sz w:val="32"/>
        </w:rPr>
        <w:t xml:space="preserve">   </w:t>
      </w:r>
      <w:bookmarkStart w:id="0" w:name="_GoBack"/>
      <w:bookmarkEnd w:id="0"/>
      <w:r>
        <w:rPr>
          <w:rFonts w:hint="eastAsia" w:ascii="黑体" w:eastAsia="黑体"/>
        </w:rPr>
        <w:t>一、基本职能及主要工作</w:t>
      </w:r>
    </w:p>
    <w:p w14:paraId="2E3FA747">
      <w:pPr>
        <w:pStyle w:val="2"/>
        <w:adjustRightInd w:val="0"/>
        <w:spacing w:before="93" w:line="600" w:lineRule="exact"/>
        <w:ind w:firstLine="675" w:firstLineChars="210"/>
        <w:rPr>
          <w:sz w:val="32"/>
        </w:rPr>
      </w:pPr>
      <w:r>
        <w:rPr>
          <w:rFonts w:hint="eastAsia" w:ascii="楷体_GB2312" w:eastAsia="楷体_GB2312"/>
          <w:b/>
          <w:sz w:val="32"/>
        </w:rPr>
        <w:t>（一）苏保局职能简介。</w:t>
      </w:r>
    </w:p>
    <w:p w14:paraId="01FBE5BE">
      <w:pPr>
        <w:pStyle w:val="2"/>
        <w:adjustRightInd w:val="0"/>
        <w:spacing w:before="93" w:line="600" w:lineRule="exact"/>
        <w:ind w:firstLine="672" w:firstLineChars="210"/>
        <w:rPr>
          <w:bCs/>
          <w:sz w:val="32"/>
          <w:u w:val="single"/>
        </w:rPr>
      </w:pPr>
      <w:r>
        <w:rPr>
          <w:rFonts w:hint="eastAsia"/>
          <w:bCs/>
          <w:sz w:val="32"/>
          <w:u w:val="single"/>
        </w:rPr>
        <w:t>保护区域内攀枝花苏铁等珍稀濒危动植物资源，维护生态平衡，开展自然保护科学研究、野生动植物珍稀物种栖息地环境监测与治理，进行自然保护宣传教育、攀枝花苏铁自然保护区生态旅游管理。</w:t>
      </w:r>
    </w:p>
    <w:p w14:paraId="0F14D323">
      <w:pPr>
        <w:pStyle w:val="2"/>
        <w:adjustRightInd w:val="0"/>
        <w:spacing w:before="93" w:line="600" w:lineRule="exact"/>
        <w:ind w:firstLine="675" w:firstLineChars="210"/>
        <w:rPr>
          <w:bCs/>
          <w:sz w:val="32"/>
          <w:u w:val="single"/>
        </w:rPr>
      </w:pPr>
      <w:r>
        <w:rPr>
          <w:rFonts w:hint="eastAsia" w:ascii="楷体_GB2312" w:eastAsia="楷体_GB2312"/>
          <w:b/>
          <w:sz w:val="32"/>
        </w:rPr>
        <w:t>（二）苏保局2021年重点工作。</w:t>
      </w:r>
    </w:p>
    <w:p w14:paraId="49AB3473">
      <w:pPr>
        <w:pStyle w:val="2"/>
        <w:adjustRightInd w:val="0"/>
        <w:spacing w:before="93" w:line="600" w:lineRule="exact"/>
        <w:ind w:firstLine="672" w:firstLineChars="210"/>
        <w:rPr>
          <w:bCs/>
          <w:sz w:val="32"/>
          <w:u w:val="single"/>
        </w:rPr>
      </w:pPr>
      <w:r>
        <w:rPr>
          <w:rFonts w:hint="eastAsia"/>
          <w:bCs/>
          <w:sz w:val="32"/>
          <w:u w:val="single"/>
        </w:rPr>
        <w:t>2021年，苏保局将在市委、市政府和市林业局党委的领导下，认真学习、宣传、贯彻落实党的十九大、习近平新时代中国特色社会主义思想精神，围绕全市林业中心工作，秉持保护优先，绿色发展理念，积极履职履责，持续推进苏保区四化建设和生态“名片”打造，助推保护事业上新台阶。努力做好了以下六个方面工作</w:t>
      </w:r>
      <w:r>
        <w:rPr>
          <w:rFonts w:hint="eastAsia"/>
          <w:bCs/>
          <w:sz w:val="32"/>
          <w:u w:val="single"/>
          <w:lang w:eastAsia="zh-CN"/>
        </w:rPr>
        <w:t>：</w:t>
      </w:r>
    </w:p>
    <w:p w14:paraId="312FEAD3">
      <w:pPr>
        <w:pStyle w:val="2"/>
        <w:adjustRightInd w:val="0"/>
        <w:spacing w:before="93" w:line="600" w:lineRule="exact"/>
        <w:ind w:firstLine="672" w:firstLineChars="210"/>
        <w:rPr>
          <w:bCs/>
          <w:sz w:val="32"/>
          <w:u w:val="single"/>
        </w:rPr>
      </w:pPr>
      <w:r>
        <w:rPr>
          <w:rFonts w:hint="eastAsia"/>
          <w:bCs/>
          <w:sz w:val="32"/>
          <w:u w:val="single"/>
          <w:lang w:eastAsia="zh-CN"/>
        </w:rPr>
        <w:t>1.</w:t>
      </w:r>
      <w:r>
        <w:rPr>
          <w:rFonts w:hint="eastAsia"/>
          <w:bCs/>
          <w:sz w:val="32"/>
          <w:u w:val="single"/>
        </w:rPr>
        <w:tab/>
      </w:r>
      <w:r>
        <w:rPr>
          <w:rFonts w:hint="eastAsia"/>
          <w:bCs/>
          <w:sz w:val="32"/>
          <w:u w:val="single"/>
        </w:rPr>
        <w:t>坚持党的领导，推进</w:t>
      </w:r>
      <w:r>
        <w:rPr>
          <w:rFonts w:hint="eastAsia"/>
          <w:bCs/>
          <w:sz w:val="32"/>
          <w:u w:val="single"/>
          <w:lang w:eastAsia="zh-CN"/>
        </w:rPr>
        <w:t>基层党组织建设</w:t>
      </w:r>
      <w:r>
        <w:rPr>
          <w:rFonts w:hint="eastAsia"/>
          <w:bCs/>
          <w:sz w:val="32"/>
          <w:u w:val="single"/>
        </w:rPr>
        <w:t>。</w:t>
      </w:r>
    </w:p>
    <w:p w14:paraId="77CD32F9">
      <w:pPr>
        <w:pStyle w:val="2"/>
        <w:adjustRightInd w:val="0"/>
        <w:spacing w:before="93" w:line="600" w:lineRule="exact"/>
        <w:ind w:firstLine="672" w:firstLineChars="210"/>
        <w:rPr>
          <w:bCs/>
          <w:sz w:val="32"/>
          <w:u w:val="single"/>
        </w:rPr>
      </w:pPr>
      <w:r>
        <w:rPr>
          <w:rFonts w:hint="eastAsia"/>
          <w:bCs/>
          <w:sz w:val="32"/>
          <w:u w:val="single"/>
          <w:lang w:eastAsia="zh-CN"/>
        </w:rPr>
        <w:t>2.</w:t>
      </w:r>
      <w:r>
        <w:rPr>
          <w:rFonts w:hint="eastAsia"/>
          <w:bCs/>
          <w:sz w:val="32"/>
          <w:u w:val="single"/>
        </w:rPr>
        <w:tab/>
      </w:r>
      <w:r>
        <w:rPr>
          <w:rFonts w:hint="eastAsia"/>
          <w:bCs/>
          <w:sz w:val="32"/>
          <w:u w:val="single"/>
        </w:rPr>
        <w:t>加强项目监管，推进项目依法依规建设。</w:t>
      </w:r>
    </w:p>
    <w:p w14:paraId="04B1C516">
      <w:pPr>
        <w:pStyle w:val="2"/>
        <w:adjustRightInd w:val="0"/>
        <w:spacing w:before="93" w:line="600" w:lineRule="exact"/>
        <w:ind w:firstLine="672" w:firstLineChars="210"/>
        <w:rPr>
          <w:bCs/>
          <w:sz w:val="32"/>
          <w:u w:val="single"/>
        </w:rPr>
      </w:pPr>
      <w:r>
        <w:rPr>
          <w:rFonts w:hint="eastAsia"/>
          <w:bCs/>
          <w:sz w:val="32"/>
          <w:u w:val="single"/>
          <w:lang w:eastAsia="zh-CN"/>
        </w:rPr>
        <w:t>3.</w:t>
      </w:r>
      <w:r>
        <w:rPr>
          <w:rFonts w:hint="eastAsia"/>
          <w:bCs/>
          <w:sz w:val="32"/>
          <w:u w:val="single"/>
        </w:rPr>
        <w:tab/>
      </w:r>
      <w:r>
        <w:rPr>
          <w:rFonts w:hint="eastAsia"/>
          <w:bCs/>
          <w:sz w:val="32"/>
          <w:u w:val="single"/>
        </w:rPr>
        <w:t>筑牢生态屏障，坚守</w:t>
      </w:r>
      <w:r>
        <w:rPr>
          <w:rFonts w:hint="eastAsia"/>
          <w:bCs/>
          <w:sz w:val="32"/>
          <w:u w:val="single"/>
          <w:lang w:eastAsia="zh-CN"/>
        </w:rPr>
        <w:t>生态保护红线</w:t>
      </w:r>
      <w:r>
        <w:rPr>
          <w:rFonts w:hint="eastAsia"/>
          <w:bCs/>
          <w:sz w:val="32"/>
          <w:u w:val="single"/>
        </w:rPr>
        <w:t>。</w:t>
      </w:r>
    </w:p>
    <w:p w14:paraId="499B2353">
      <w:pPr>
        <w:pStyle w:val="2"/>
        <w:adjustRightInd w:val="0"/>
        <w:spacing w:before="93" w:line="600" w:lineRule="exact"/>
        <w:ind w:firstLine="672" w:firstLineChars="210"/>
        <w:rPr>
          <w:bCs/>
          <w:sz w:val="32"/>
          <w:u w:val="single"/>
        </w:rPr>
      </w:pPr>
      <w:r>
        <w:rPr>
          <w:rFonts w:hint="eastAsia"/>
          <w:bCs/>
          <w:sz w:val="32"/>
          <w:u w:val="single"/>
          <w:lang w:eastAsia="zh-CN"/>
        </w:rPr>
        <w:t>4.</w:t>
      </w:r>
      <w:r>
        <w:rPr>
          <w:rFonts w:hint="eastAsia"/>
          <w:bCs/>
          <w:sz w:val="32"/>
          <w:u w:val="single"/>
        </w:rPr>
        <w:t>坚持智慧支撑，推进苏保区科学发展。</w:t>
      </w:r>
    </w:p>
    <w:p w14:paraId="0687A5FF">
      <w:pPr>
        <w:pStyle w:val="2"/>
        <w:adjustRightInd w:val="0"/>
        <w:spacing w:before="93" w:line="600" w:lineRule="exact"/>
        <w:ind w:firstLine="672" w:firstLineChars="210"/>
        <w:rPr>
          <w:bCs/>
          <w:sz w:val="32"/>
          <w:u w:val="single"/>
        </w:rPr>
      </w:pPr>
      <w:r>
        <w:rPr>
          <w:rFonts w:hint="eastAsia"/>
          <w:bCs/>
          <w:sz w:val="32"/>
          <w:u w:val="single"/>
          <w:lang w:eastAsia="zh-CN"/>
        </w:rPr>
        <w:t>5.</w:t>
      </w:r>
      <w:r>
        <w:rPr>
          <w:rFonts w:hint="eastAsia"/>
          <w:bCs/>
          <w:sz w:val="32"/>
          <w:u w:val="single"/>
        </w:rPr>
        <w:t>发挥资源优势，推进生态文明宣教工作。</w:t>
      </w:r>
    </w:p>
    <w:p w14:paraId="508B6935">
      <w:pPr>
        <w:pStyle w:val="2"/>
        <w:adjustRightInd w:val="0"/>
        <w:spacing w:before="93" w:line="600" w:lineRule="exact"/>
        <w:ind w:firstLine="672" w:firstLineChars="210"/>
        <w:rPr>
          <w:bCs/>
          <w:sz w:val="32"/>
          <w:u w:val="single"/>
        </w:rPr>
      </w:pPr>
      <w:r>
        <w:rPr>
          <w:rFonts w:hint="eastAsia"/>
          <w:bCs/>
          <w:sz w:val="32"/>
          <w:u w:val="single"/>
          <w:lang w:eastAsia="zh-CN"/>
        </w:rPr>
        <w:t>6.</w:t>
      </w:r>
      <w:r>
        <w:rPr>
          <w:rFonts w:hint="eastAsia"/>
          <w:bCs/>
          <w:sz w:val="32"/>
          <w:u w:val="single"/>
        </w:rPr>
        <w:t>统筹全面发展，力促文明团结稳定和谐。</w:t>
      </w:r>
    </w:p>
    <w:p w14:paraId="6E83EE24">
      <w:pPr>
        <w:spacing w:line="600" w:lineRule="exact"/>
        <w:ind w:firstLine="640" w:firstLineChars="200"/>
        <w:rPr>
          <w:rFonts w:ascii="黑体" w:eastAsia="黑体"/>
        </w:rPr>
      </w:pPr>
      <w:r>
        <w:rPr>
          <w:rFonts w:hint="eastAsia" w:ascii="黑体" w:eastAsia="黑体"/>
        </w:rPr>
        <w:t>二、单位构成情况</w:t>
      </w:r>
    </w:p>
    <w:p w14:paraId="39B612E5">
      <w:pPr>
        <w:spacing w:line="600" w:lineRule="exact"/>
        <w:ind w:firstLine="640" w:firstLineChars="200"/>
        <w:rPr>
          <w:rFonts w:ascii="仿宋_GB2312"/>
        </w:rPr>
      </w:pPr>
      <w:r>
        <w:rPr>
          <w:rFonts w:hint="eastAsia" w:ascii="仿宋_GB2312"/>
        </w:rPr>
        <w:t>苏保局是财政拨款（补助）的独立核算单位，为公益一类副县级事业单位，无下属非独立核算单位。目前编制21人，实际在岗17人，退休人员5人，公务车辆3辆。</w:t>
      </w:r>
    </w:p>
    <w:p w14:paraId="3058ECE4">
      <w:pPr>
        <w:spacing w:line="600" w:lineRule="exact"/>
        <w:ind w:firstLine="640" w:firstLineChars="200"/>
        <w:rPr>
          <w:rFonts w:ascii="黑体" w:eastAsia="黑体"/>
        </w:rPr>
      </w:pPr>
      <w:r>
        <w:rPr>
          <w:rFonts w:hint="eastAsia" w:ascii="黑体" w:eastAsia="黑体"/>
        </w:rPr>
        <w:t>三、收支预算情况说明</w:t>
      </w:r>
    </w:p>
    <w:p w14:paraId="0008BCFC">
      <w:pPr>
        <w:spacing w:line="600" w:lineRule="exact"/>
        <w:ind w:firstLine="640" w:firstLineChars="200"/>
        <w:rPr>
          <w:rFonts w:ascii="仿宋_GB2312"/>
        </w:rPr>
      </w:pPr>
      <w:r>
        <w:rPr>
          <w:rFonts w:hint="eastAsia"/>
        </w:rPr>
        <w:t>按照综合预算的原则，苏保局</w:t>
      </w:r>
      <w:r>
        <w:rPr>
          <w:rFonts w:hint="eastAsia" w:ascii="仿宋_GB2312"/>
        </w:rPr>
        <w:t>所有收入和支出均纳入部门预算管理。收入包括：</w:t>
      </w:r>
      <w:r>
        <w:rPr>
          <w:rFonts w:hint="eastAsia" w:ascii="仿宋_GB2312"/>
          <w:lang w:eastAsia="zh-CN"/>
        </w:rPr>
        <w:t>一般公共预算财政拨款</w:t>
      </w:r>
      <w:r>
        <w:rPr>
          <w:rFonts w:hint="eastAsia" w:ascii="仿宋_GB2312"/>
        </w:rPr>
        <w:t>收入315.9万元、支出包括：社会保障和就业支出22.24万元、农林水支出272.18万元、住房保障支出21.48万元。</w:t>
      </w:r>
      <w:r>
        <w:rPr>
          <w:rFonts w:hint="eastAsia"/>
        </w:rPr>
        <w:t>苏保局</w:t>
      </w:r>
      <w:r>
        <w:rPr>
          <w:rFonts w:hint="eastAsia" w:ascii="仿宋_GB2312"/>
        </w:rPr>
        <w:t>2021年收支总预算</w:t>
      </w:r>
      <w:r>
        <w:rPr>
          <w:rFonts w:hint="eastAsia"/>
        </w:rPr>
        <w:t>315.9</w:t>
      </w:r>
      <w:r>
        <w:rPr>
          <w:rFonts w:hint="eastAsia" w:ascii="仿宋_GB2312"/>
        </w:rPr>
        <w:t>万元。</w:t>
      </w:r>
    </w:p>
    <w:p w14:paraId="0949B9A7">
      <w:pPr>
        <w:spacing w:line="600" w:lineRule="exact"/>
        <w:ind w:firstLine="643" w:firstLineChars="200"/>
        <w:rPr>
          <w:rFonts w:ascii="楷体_GB2312" w:eastAsia="楷体_GB2312"/>
          <w:b/>
        </w:rPr>
      </w:pPr>
      <w:r>
        <w:rPr>
          <w:rFonts w:hint="eastAsia" w:ascii="楷体_GB2312" w:eastAsia="楷体_GB2312"/>
          <w:b/>
        </w:rPr>
        <w:t>（一）收入预算情况</w:t>
      </w:r>
    </w:p>
    <w:p w14:paraId="4DA5857B">
      <w:pPr>
        <w:spacing w:line="600" w:lineRule="exact"/>
        <w:ind w:firstLine="640" w:firstLineChars="200"/>
        <w:rPr>
          <w:rFonts w:ascii="仿宋_GB2312"/>
        </w:rPr>
      </w:pPr>
      <w:r>
        <w:rPr>
          <w:rFonts w:hint="eastAsia"/>
        </w:rPr>
        <w:t>苏保局</w:t>
      </w:r>
      <w:r>
        <w:rPr>
          <w:rFonts w:hint="eastAsia" w:ascii="仿宋_GB2312"/>
        </w:rPr>
        <w:t>2021年收入预算</w:t>
      </w:r>
      <w:r>
        <w:t>933.42</w:t>
      </w:r>
      <w:r>
        <w:rPr>
          <w:rFonts w:hint="eastAsia" w:ascii="仿宋_GB2312"/>
        </w:rPr>
        <w:t>万元，其中：上年结转</w:t>
      </w:r>
      <w:r>
        <w:t>617.52</w:t>
      </w:r>
      <w:r>
        <w:rPr>
          <w:rFonts w:hint="eastAsia" w:ascii="仿宋_GB2312"/>
        </w:rPr>
        <w:t>万元，占</w:t>
      </w:r>
      <w:r>
        <w:t>66.16</w:t>
      </w:r>
      <w:r>
        <w:rPr>
          <w:rFonts w:hint="eastAsia" w:ascii="仿宋_GB2312"/>
        </w:rPr>
        <w:t>%；</w:t>
      </w:r>
      <w:r>
        <w:rPr>
          <w:rFonts w:hint="eastAsia" w:ascii="仿宋_GB2312"/>
          <w:lang w:eastAsia="zh-CN"/>
        </w:rPr>
        <w:t>一般公共预算财政拨款</w:t>
      </w:r>
      <w:r>
        <w:rPr>
          <w:rFonts w:hint="eastAsia" w:ascii="仿宋_GB2312"/>
        </w:rPr>
        <w:t>收入</w:t>
      </w:r>
      <w:r>
        <w:t>315.9</w:t>
      </w:r>
      <w:r>
        <w:rPr>
          <w:rFonts w:hint="eastAsia" w:ascii="仿宋_GB2312"/>
        </w:rPr>
        <w:t>万元，占</w:t>
      </w:r>
      <w:r>
        <w:t>33.84</w:t>
      </w:r>
      <w:r>
        <w:rPr>
          <w:rFonts w:hint="eastAsia" w:ascii="仿宋_GB2312"/>
        </w:rPr>
        <w:t>%</w:t>
      </w:r>
      <w:r>
        <w:rPr>
          <w:rFonts w:hint="eastAsia" w:ascii="仿宋_GB2312"/>
          <w:lang w:eastAsia="zh-CN"/>
        </w:rPr>
        <w:t>；</w:t>
      </w:r>
    </w:p>
    <w:p w14:paraId="7F5E63BA">
      <w:pPr>
        <w:spacing w:line="600" w:lineRule="exact"/>
        <w:ind w:firstLine="643" w:firstLineChars="200"/>
        <w:rPr>
          <w:rFonts w:ascii="楷体_GB2312" w:eastAsia="楷体_GB2312"/>
          <w:b/>
        </w:rPr>
      </w:pPr>
      <w:r>
        <w:rPr>
          <w:rFonts w:hint="eastAsia" w:ascii="楷体_GB2312" w:eastAsia="楷体_GB2312"/>
          <w:b/>
        </w:rPr>
        <w:t>（二）支出预算情况</w:t>
      </w:r>
    </w:p>
    <w:p w14:paraId="448B7E09">
      <w:pPr>
        <w:spacing w:line="600" w:lineRule="exact"/>
        <w:ind w:firstLine="640" w:firstLineChars="200"/>
        <w:rPr>
          <w:rFonts w:ascii="仿宋_GB2312"/>
          <w:u w:val="single"/>
        </w:rPr>
      </w:pPr>
      <w:r>
        <w:rPr>
          <w:rFonts w:hint="eastAsia"/>
        </w:rPr>
        <w:t>苏保局</w:t>
      </w:r>
      <w:r>
        <w:rPr>
          <w:rFonts w:hint="eastAsia" w:ascii="仿宋_GB2312"/>
        </w:rPr>
        <w:t>2021年支出预算</w:t>
      </w:r>
      <w:r>
        <w:t>315.9</w:t>
      </w:r>
      <w:r>
        <w:rPr>
          <w:rFonts w:hint="eastAsia" w:ascii="仿宋_GB2312"/>
        </w:rPr>
        <w:t>万元，其中：基本支出</w:t>
      </w:r>
      <w:r>
        <w:t>295.9</w:t>
      </w:r>
      <w:r>
        <w:rPr>
          <w:rFonts w:hint="eastAsia" w:ascii="仿宋_GB2312"/>
        </w:rPr>
        <w:t>万元，占</w:t>
      </w:r>
      <w:r>
        <w:t>93.67</w:t>
      </w:r>
      <w:r>
        <w:rPr>
          <w:rFonts w:hint="eastAsia" w:ascii="仿宋_GB2312"/>
        </w:rPr>
        <w:t>%；项目支出</w:t>
      </w:r>
      <w:r>
        <w:t>20</w:t>
      </w:r>
      <w:r>
        <w:rPr>
          <w:rFonts w:hint="eastAsia" w:ascii="仿宋_GB2312"/>
        </w:rPr>
        <w:t>万元，占</w:t>
      </w:r>
      <w:r>
        <w:t>6.33</w:t>
      </w:r>
      <w:r>
        <w:rPr>
          <w:rFonts w:hint="eastAsia" w:ascii="仿宋_GB2312"/>
        </w:rPr>
        <w:t>%</w:t>
      </w:r>
      <w:r>
        <w:rPr>
          <w:rFonts w:hint="eastAsia" w:ascii="仿宋_GB2312"/>
          <w:u w:val="single"/>
        </w:rPr>
        <w:t>。</w:t>
      </w:r>
    </w:p>
    <w:p w14:paraId="494752A7">
      <w:pPr>
        <w:spacing w:line="600" w:lineRule="exact"/>
        <w:ind w:firstLine="640" w:firstLineChars="200"/>
        <w:rPr>
          <w:rFonts w:ascii="黑体" w:eastAsia="黑体"/>
        </w:rPr>
      </w:pPr>
      <w:r>
        <w:rPr>
          <w:rFonts w:hint="eastAsia" w:ascii="黑体" w:eastAsia="黑体"/>
        </w:rPr>
        <w:t>四、财政拨款收支预算情况说明</w:t>
      </w:r>
    </w:p>
    <w:p w14:paraId="344EE11F">
      <w:pPr>
        <w:spacing w:line="600" w:lineRule="exact"/>
        <w:ind w:firstLine="640" w:firstLineChars="200"/>
        <w:rPr>
          <w:rFonts w:ascii="黑体" w:eastAsia="黑体"/>
        </w:rPr>
      </w:pPr>
      <w:r>
        <w:rPr>
          <w:rFonts w:hint="eastAsia"/>
        </w:rPr>
        <w:t>苏保局</w:t>
      </w:r>
      <w:r>
        <w:rPr>
          <w:rFonts w:hint="eastAsia" w:ascii="仿宋_GB2312"/>
        </w:rPr>
        <w:t>2021年财政拨款收支总预算</w:t>
      </w:r>
      <w:r>
        <w:t>315.9</w:t>
      </w:r>
      <w:r>
        <w:rPr>
          <w:rFonts w:hint="eastAsia" w:ascii="仿宋_GB2312"/>
        </w:rPr>
        <w:t>万元。收入包括：本年</w:t>
      </w:r>
      <w:r>
        <w:rPr>
          <w:rFonts w:hint="eastAsia" w:ascii="仿宋_GB2312"/>
          <w:lang w:eastAsia="zh-CN"/>
        </w:rPr>
        <w:t>一般公共预算财政拨款</w:t>
      </w:r>
      <w:r>
        <w:rPr>
          <w:rFonts w:hint="eastAsia" w:ascii="仿宋_GB2312"/>
        </w:rPr>
        <w:t>收入</w:t>
      </w:r>
      <w:r>
        <w:t>315.9</w:t>
      </w:r>
      <w:r>
        <w:rPr>
          <w:rFonts w:hint="eastAsia" w:ascii="仿宋_GB2312"/>
        </w:rPr>
        <w:t>万元；支出包括：社会保障和就业支出22.24万元、农林水支出272.18万元、住房保障支出21.48万元。</w:t>
      </w:r>
    </w:p>
    <w:p w14:paraId="60B4BD5E">
      <w:pPr>
        <w:spacing w:line="600" w:lineRule="exact"/>
        <w:ind w:firstLine="640" w:firstLineChars="200"/>
        <w:rPr>
          <w:rFonts w:ascii="黑体" w:eastAsia="黑体"/>
        </w:rPr>
      </w:pPr>
      <w:r>
        <w:rPr>
          <w:rFonts w:hint="eastAsia" w:ascii="黑体" w:eastAsia="黑体"/>
        </w:rPr>
        <w:t>五、一般公共预算当年拨款情况说明</w:t>
      </w:r>
    </w:p>
    <w:p w14:paraId="1471CD7C">
      <w:pPr>
        <w:spacing w:line="600" w:lineRule="exact"/>
        <w:ind w:firstLine="643" w:firstLineChars="200"/>
        <w:rPr>
          <w:rFonts w:ascii="楷体_GB2312" w:eastAsia="楷体_GB2312"/>
          <w:b/>
        </w:rPr>
      </w:pPr>
      <w:r>
        <w:rPr>
          <w:rFonts w:hint="eastAsia" w:ascii="楷体_GB2312" w:eastAsia="楷体_GB2312"/>
          <w:b/>
        </w:rPr>
        <w:t>（一）一般公共预算当年拨款规模变化情况</w:t>
      </w:r>
    </w:p>
    <w:p w14:paraId="07E3C3B5">
      <w:pPr>
        <w:spacing w:line="600" w:lineRule="exact"/>
        <w:ind w:firstLine="640" w:firstLineChars="200"/>
        <w:rPr>
          <w:rFonts w:ascii="仿宋_GB2312"/>
        </w:rPr>
      </w:pPr>
      <w:r>
        <w:rPr>
          <w:rFonts w:hint="eastAsia"/>
        </w:rPr>
        <w:t>苏保局</w:t>
      </w:r>
      <w:r>
        <w:rPr>
          <w:rFonts w:hint="eastAsia" w:ascii="仿宋_GB2312"/>
        </w:rPr>
        <w:t>2021年一般公共预算当年拨款</w:t>
      </w:r>
      <w:r>
        <w:t>315.9</w:t>
      </w:r>
      <w:r>
        <w:rPr>
          <w:rFonts w:hint="eastAsia" w:ascii="仿宋_GB2312"/>
        </w:rPr>
        <w:t>万元，比2020年预算数</w:t>
      </w:r>
      <w:r>
        <w:rPr>
          <w:rFonts w:hint="eastAsia" w:ascii="仿宋_GB2312"/>
          <w:u w:val="single"/>
        </w:rPr>
        <w:t>减少</w:t>
      </w:r>
      <w:r>
        <w:t>24.99</w:t>
      </w:r>
      <w:r>
        <w:rPr>
          <w:rFonts w:hint="eastAsia" w:ascii="仿宋_GB2312"/>
        </w:rPr>
        <w:t>万元，主要是2020年人员减少4人，车辆减少2辆。</w:t>
      </w:r>
    </w:p>
    <w:p w14:paraId="228EA049">
      <w:pPr>
        <w:spacing w:line="600" w:lineRule="exact"/>
        <w:ind w:firstLine="643" w:firstLineChars="200"/>
        <w:rPr>
          <w:rFonts w:ascii="楷体_GB2312" w:eastAsia="楷体_GB2312"/>
          <w:b/>
        </w:rPr>
      </w:pPr>
      <w:r>
        <w:rPr>
          <w:rFonts w:hint="eastAsia" w:ascii="楷体_GB2312" w:eastAsia="楷体_GB2312"/>
          <w:b/>
        </w:rPr>
        <w:t>（二）一般公共预算当年拨款结构情况</w:t>
      </w:r>
    </w:p>
    <w:p w14:paraId="6D1B8D88">
      <w:pPr>
        <w:spacing w:line="600" w:lineRule="exact"/>
        <w:ind w:firstLine="640" w:firstLineChars="200"/>
        <w:rPr>
          <w:rFonts w:ascii="仿宋_GB2312"/>
        </w:rPr>
      </w:pPr>
      <w:r>
        <w:rPr>
          <w:rFonts w:hint="eastAsia" w:ascii="仿宋_GB2312"/>
        </w:rPr>
        <w:t>一般公共服务支出</w:t>
      </w:r>
      <w:r>
        <w:t>315.9</w:t>
      </w:r>
      <w:r>
        <w:rPr>
          <w:rFonts w:hint="eastAsia" w:ascii="仿宋_GB2312"/>
        </w:rPr>
        <w:t>万元，占</w:t>
      </w:r>
      <w:r>
        <w:t>100</w:t>
      </w:r>
      <w:r>
        <w:rPr>
          <w:rFonts w:hint="eastAsia" w:ascii="仿宋_GB2312"/>
        </w:rPr>
        <w:t>%；外交支出</w:t>
      </w:r>
      <w:r>
        <w:t>0</w:t>
      </w:r>
      <w:r>
        <w:rPr>
          <w:rFonts w:hint="eastAsia" w:ascii="仿宋_GB2312"/>
        </w:rPr>
        <w:t>万元，占</w:t>
      </w:r>
      <w:r>
        <w:t>0</w:t>
      </w:r>
      <w:r>
        <w:rPr>
          <w:rFonts w:hint="eastAsia" w:ascii="仿宋_GB2312"/>
        </w:rPr>
        <w:t>%；</w:t>
      </w:r>
    </w:p>
    <w:p w14:paraId="4D105058">
      <w:pPr>
        <w:spacing w:line="600" w:lineRule="exact"/>
        <w:ind w:firstLine="643" w:firstLineChars="200"/>
        <w:rPr>
          <w:rFonts w:ascii="楷体_GB2312" w:eastAsia="楷体_GB2312"/>
          <w:b/>
        </w:rPr>
      </w:pPr>
      <w:r>
        <w:rPr>
          <w:rFonts w:hint="eastAsia" w:ascii="楷体_GB2312" w:eastAsia="楷体_GB2312"/>
          <w:b/>
        </w:rPr>
        <w:t>（三）一般公共预算当年拨款具体使用情况</w:t>
      </w:r>
    </w:p>
    <w:p w14:paraId="4F1547E5">
      <w:pPr>
        <w:spacing w:line="600" w:lineRule="exact"/>
        <w:ind w:firstLine="640" w:firstLineChars="200"/>
        <w:rPr>
          <w:rFonts w:ascii="仿宋_GB2312"/>
        </w:rPr>
      </w:pPr>
      <w:r>
        <w:rPr>
          <w:rFonts w:hint="eastAsia" w:ascii="仿宋_GB2312"/>
        </w:rPr>
        <w:t>1.机关事业单位基本养老保险缴费支出2021年预算数为</w:t>
      </w:r>
      <w:r>
        <w:t>22.24</w:t>
      </w:r>
      <w:r>
        <w:rPr>
          <w:rFonts w:hint="eastAsia" w:ascii="仿宋_GB2312"/>
        </w:rPr>
        <w:t>万元，主要用于社会保险缴费。</w:t>
      </w:r>
    </w:p>
    <w:p w14:paraId="36211313">
      <w:pPr>
        <w:spacing w:line="600" w:lineRule="exact"/>
        <w:ind w:firstLine="640" w:firstLineChars="200"/>
        <w:rPr>
          <w:rFonts w:ascii="仿宋_GB2312"/>
        </w:rPr>
      </w:pPr>
      <w:r>
        <w:rPr>
          <w:rFonts w:hint="eastAsia" w:ascii="仿宋_GB2312"/>
        </w:rPr>
        <w:t>2.事业机构运行支出2021年预算数为</w:t>
      </w:r>
      <w:r>
        <w:t>252.18</w:t>
      </w:r>
      <w:r>
        <w:rPr>
          <w:rFonts w:hint="eastAsia" w:ascii="仿宋_GB2312"/>
        </w:rPr>
        <w:t>万元，主要用于：在职17人的基本工资、绩效工资等。</w:t>
      </w:r>
    </w:p>
    <w:p w14:paraId="4690E5F4">
      <w:pPr>
        <w:spacing w:line="600" w:lineRule="exact"/>
        <w:ind w:firstLine="640" w:firstLineChars="200"/>
        <w:rPr>
          <w:rFonts w:ascii="仿宋_GB2312"/>
        </w:rPr>
      </w:pPr>
      <w:r>
        <w:rPr>
          <w:rFonts w:hint="eastAsia" w:ascii="仿宋_GB2312"/>
        </w:rPr>
        <w:t>3.住房公积金支出2021年预算数为</w:t>
      </w:r>
      <w:r>
        <w:t>21.48</w:t>
      </w:r>
      <w:r>
        <w:rPr>
          <w:rFonts w:hint="eastAsia" w:ascii="仿宋_GB2312"/>
        </w:rPr>
        <w:t>万元，主要用于：在职17人住房公积金。</w:t>
      </w:r>
    </w:p>
    <w:p w14:paraId="0355A96D">
      <w:pPr>
        <w:spacing w:line="600" w:lineRule="exact"/>
        <w:ind w:firstLine="640" w:firstLineChars="200"/>
        <w:rPr>
          <w:rFonts w:ascii="仿宋_GB2312"/>
          <w:u w:val="single"/>
        </w:rPr>
      </w:pPr>
      <w:r>
        <w:rPr>
          <w:rFonts w:hint="eastAsia" w:ascii="仿宋_GB2312"/>
          <w:u w:val="single"/>
        </w:rPr>
        <w:t>4.林业草原防灾减灾森林防火专项支出2021年预算20万元，主要用于开展2021年森林防灭火工作，保障苏保区生态安全。</w:t>
      </w:r>
    </w:p>
    <w:p w14:paraId="0A6FE45F">
      <w:pPr>
        <w:spacing w:line="600" w:lineRule="exact"/>
        <w:ind w:firstLine="640" w:firstLineChars="200"/>
        <w:rPr>
          <w:rFonts w:ascii="黑体" w:eastAsia="黑体"/>
        </w:rPr>
      </w:pPr>
      <w:r>
        <w:rPr>
          <w:rFonts w:hint="eastAsia" w:ascii="黑体" w:eastAsia="黑体"/>
        </w:rPr>
        <w:t>六、一般公共预算基本支出情况说明</w:t>
      </w:r>
    </w:p>
    <w:p w14:paraId="08CBAC9F">
      <w:pPr>
        <w:spacing w:line="600" w:lineRule="exact"/>
        <w:ind w:firstLine="640" w:firstLineChars="200"/>
        <w:rPr>
          <w:rFonts w:ascii="仿宋_GB2312"/>
        </w:rPr>
      </w:pPr>
      <w:r>
        <w:rPr>
          <w:rFonts w:hint="eastAsia"/>
        </w:rPr>
        <w:t>苏保局</w:t>
      </w:r>
      <w:r>
        <w:rPr>
          <w:rFonts w:hint="eastAsia" w:ascii="仿宋_GB2312"/>
        </w:rPr>
        <w:t>2021年一般公共预算基本支出</w:t>
      </w:r>
      <w:r>
        <w:t>295.9</w:t>
      </w:r>
      <w:r>
        <w:rPr>
          <w:rFonts w:hint="eastAsia"/>
        </w:rPr>
        <w:t>万</w:t>
      </w:r>
      <w:r>
        <w:rPr>
          <w:rFonts w:hint="eastAsia" w:ascii="仿宋_GB2312"/>
        </w:rPr>
        <w:t>元，其中：</w:t>
      </w:r>
    </w:p>
    <w:p w14:paraId="0AC0975A">
      <w:pPr>
        <w:spacing w:line="600" w:lineRule="exact"/>
        <w:ind w:firstLine="640" w:firstLineChars="200"/>
        <w:rPr>
          <w:rFonts w:ascii="仿宋_GB2312"/>
          <w:u w:val="single"/>
        </w:rPr>
      </w:pPr>
      <w:r>
        <w:rPr>
          <w:rFonts w:hint="eastAsia" w:ascii="仿宋_GB2312"/>
        </w:rPr>
        <w:t>人员经费</w:t>
      </w:r>
      <w:r>
        <w:t>258.32</w:t>
      </w:r>
      <w:r>
        <w:rPr>
          <w:rFonts w:hint="eastAsia" w:ascii="仿宋_GB2312"/>
        </w:rPr>
        <w:t>万元，主要包括：基本工资、津贴补贴、绩效工资、社会保险缴费、住房公积金及其他工资福利支出。</w:t>
      </w:r>
    </w:p>
    <w:p w14:paraId="566FAEBD">
      <w:pPr>
        <w:spacing w:line="600" w:lineRule="exact"/>
        <w:ind w:firstLine="640" w:firstLineChars="200"/>
        <w:rPr>
          <w:rFonts w:ascii="仿宋_GB2312"/>
        </w:rPr>
      </w:pPr>
      <w:r>
        <w:rPr>
          <w:rFonts w:hint="eastAsia" w:ascii="仿宋_GB2312"/>
        </w:rPr>
        <w:t>公用经费</w:t>
      </w:r>
      <w:r>
        <w:t>37.58</w:t>
      </w:r>
      <w:r>
        <w:rPr>
          <w:rFonts w:hint="eastAsia" w:ascii="仿宋_GB2312"/>
        </w:rPr>
        <w:t>万元，主要包括：办公费、水费、电费、邮电费、差旅费、公务接待费、工会经费、福利费、公务车运行维护费、其他交通费用、在职党建经费及离退休公用经费。</w:t>
      </w:r>
    </w:p>
    <w:p w14:paraId="0E040724">
      <w:pPr>
        <w:spacing w:line="600" w:lineRule="exact"/>
        <w:ind w:firstLine="640" w:firstLineChars="200"/>
        <w:rPr>
          <w:rFonts w:ascii="黑体" w:eastAsia="黑体"/>
        </w:rPr>
      </w:pPr>
      <w:r>
        <w:rPr>
          <w:rFonts w:hint="eastAsia" w:ascii="黑体" w:eastAsia="黑体"/>
        </w:rPr>
        <w:t>七、“三公”经费财政拨款预算安排情况说明</w:t>
      </w:r>
    </w:p>
    <w:p w14:paraId="399E5BDB">
      <w:pPr>
        <w:spacing w:line="600" w:lineRule="exact"/>
        <w:ind w:firstLine="640" w:firstLineChars="200"/>
        <w:rPr>
          <w:rFonts w:ascii="仿宋_GB2312"/>
        </w:rPr>
      </w:pPr>
      <w:r>
        <w:rPr>
          <w:rFonts w:hint="eastAsia"/>
        </w:rPr>
        <w:t>苏保局</w:t>
      </w:r>
      <w:r>
        <w:rPr>
          <w:rFonts w:hint="eastAsia" w:ascii="仿宋_GB2312"/>
        </w:rPr>
        <w:t>2021年“三公”经费财政拨款预算数</w:t>
      </w:r>
      <w:r>
        <w:t>10.09</w:t>
      </w:r>
      <w:r>
        <w:rPr>
          <w:rFonts w:hint="eastAsia" w:ascii="仿宋_GB2312"/>
        </w:rPr>
        <w:t>万元，其中：因公出国（境）经费</w:t>
      </w:r>
      <w:r>
        <w:t>0</w:t>
      </w:r>
      <w:r>
        <w:rPr>
          <w:rFonts w:hint="eastAsia" w:ascii="仿宋_GB2312"/>
        </w:rPr>
        <w:t>万元，公务接待费</w:t>
      </w:r>
      <w:r>
        <w:t>0.37</w:t>
      </w:r>
      <w:r>
        <w:rPr>
          <w:rFonts w:hint="eastAsia" w:ascii="仿宋_GB2312"/>
        </w:rPr>
        <w:t>万元，公务用车购置及运行维护费</w:t>
      </w:r>
      <w:r>
        <w:t>9.72</w:t>
      </w:r>
      <w:r>
        <w:rPr>
          <w:rFonts w:hint="eastAsia" w:ascii="仿宋_GB2312"/>
        </w:rPr>
        <w:t>万元。</w:t>
      </w:r>
    </w:p>
    <w:p w14:paraId="282E892C">
      <w:pPr>
        <w:spacing w:line="600" w:lineRule="exact"/>
        <w:ind w:firstLine="640"/>
        <w:rPr>
          <w:rFonts w:ascii="黑体" w:eastAsia="黑体"/>
          <w:b/>
        </w:rPr>
      </w:pPr>
      <w:r>
        <w:rPr>
          <w:rFonts w:hint="eastAsia" w:ascii="楷体_GB2312" w:eastAsia="楷体_GB2312"/>
          <w:b/>
        </w:rPr>
        <w:t>（一）公务接待费较2020年预算</w:t>
      </w:r>
      <w:r>
        <w:rPr>
          <w:rFonts w:hint="eastAsia" w:ascii="楷体_GB2312" w:eastAsia="楷体_GB2312"/>
          <w:b/>
          <w:u w:val="single"/>
        </w:rPr>
        <w:t>下降</w:t>
      </w:r>
      <w:r>
        <w:rPr>
          <w:b/>
        </w:rPr>
        <w:t>5</w:t>
      </w:r>
      <w:r>
        <w:rPr>
          <w:rFonts w:hint="eastAsia" w:ascii="楷体_GB2312" w:eastAsia="楷体_GB2312"/>
          <w:b/>
        </w:rPr>
        <w:t>%。</w:t>
      </w:r>
      <w:r>
        <w:rPr>
          <w:rFonts w:hint="eastAsia" w:ascii="仿宋_GB2312"/>
        </w:rPr>
        <w:t>主要原因是2020年接待次数减少。</w:t>
      </w:r>
    </w:p>
    <w:p w14:paraId="703F2099">
      <w:pPr>
        <w:spacing w:line="600" w:lineRule="exact"/>
        <w:ind w:firstLine="640"/>
        <w:rPr>
          <w:rFonts w:ascii="仿宋_GB2312"/>
        </w:rPr>
      </w:pPr>
      <w:r>
        <w:rPr>
          <w:rFonts w:hint="eastAsia" w:ascii="仿宋_GB2312"/>
        </w:rPr>
        <w:t>2021年公务接待费计划用于接待省、市主管部门莅临指导、检查工作。</w:t>
      </w:r>
    </w:p>
    <w:p w14:paraId="73477DFE">
      <w:pPr>
        <w:spacing w:line="600" w:lineRule="exact"/>
        <w:ind w:firstLine="640"/>
        <w:rPr>
          <w:rFonts w:ascii="黑体" w:eastAsia="黑体"/>
          <w:b/>
        </w:rPr>
      </w:pPr>
      <w:r>
        <w:rPr>
          <w:rFonts w:hint="eastAsia" w:ascii="楷体_GB2312" w:eastAsia="楷体_GB2312"/>
          <w:b/>
        </w:rPr>
        <w:t>（三）公务用车购置及运行维护费较2020年预算</w:t>
      </w:r>
      <w:r>
        <w:rPr>
          <w:rFonts w:hint="eastAsia" w:ascii="楷体_GB2312" w:eastAsia="楷体_GB2312"/>
          <w:b/>
          <w:u w:val="single"/>
        </w:rPr>
        <w:t>下降</w:t>
      </w:r>
      <w:r>
        <w:rPr>
          <w:b/>
        </w:rPr>
        <w:t>33.15</w:t>
      </w:r>
      <w:r>
        <w:rPr>
          <w:rFonts w:hint="eastAsia" w:ascii="楷体_GB2312" w:eastAsia="楷体_GB2312"/>
          <w:b/>
        </w:rPr>
        <w:t>%。</w:t>
      </w:r>
      <w:r>
        <w:rPr>
          <w:rFonts w:hint="eastAsia" w:ascii="仿宋_GB2312"/>
        </w:rPr>
        <w:t>主要原因是2020年报废处理公务车辆2辆。</w:t>
      </w:r>
    </w:p>
    <w:p w14:paraId="6BD3065E">
      <w:pPr>
        <w:spacing w:line="600" w:lineRule="exact"/>
        <w:ind w:firstLine="640"/>
        <w:rPr>
          <w:rFonts w:ascii="仿宋_GB2312"/>
        </w:rPr>
      </w:pPr>
      <w:r>
        <w:rPr>
          <w:rFonts w:hint="eastAsia" w:ascii="仿宋_GB2312"/>
        </w:rPr>
        <w:t>单位现有公务用车</w:t>
      </w:r>
      <w:r>
        <w:t>3</w:t>
      </w:r>
      <w:r>
        <w:rPr>
          <w:rFonts w:hint="eastAsia" w:ascii="仿宋_GB2312"/>
        </w:rPr>
        <w:t>辆，其中：轿车（含7座以下商务车、城市越野车）</w:t>
      </w:r>
      <w:r>
        <w:t>1</w:t>
      </w:r>
      <w:r>
        <w:rPr>
          <w:rFonts w:hint="eastAsia" w:ascii="仿宋_GB2312"/>
        </w:rPr>
        <w:t>辆，越野车</w:t>
      </w:r>
      <w:r>
        <w:t>2</w:t>
      </w:r>
      <w:r>
        <w:rPr>
          <w:rFonts w:hint="eastAsia" w:ascii="仿宋_GB2312"/>
        </w:rPr>
        <w:t>辆。</w:t>
      </w:r>
    </w:p>
    <w:p w14:paraId="3208DF39">
      <w:pPr>
        <w:spacing w:line="600" w:lineRule="exact"/>
        <w:ind w:firstLine="640"/>
        <w:rPr>
          <w:rFonts w:ascii="仿宋_GB2312"/>
        </w:rPr>
      </w:pPr>
      <w:r>
        <w:rPr>
          <w:rFonts w:hint="eastAsia" w:ascii="仿宋_GB2312"/>
        </w:rPr>
        <w:t>2021年安排公务用车运行维护费</w:t>
      </w:r>
      <w:r>
        <w:t>9.72</w:t>
      </w:r>
      <w:r>
        <w:rPr>
          <w:rFonts w:hint="eastAsia" w:ascii="仿宋_GB2312"/>
        </w:rPr>
        <w:t>万元，用于</w:t>
      </w:r>
      <w:r>
        <w:t>3</w:t>
      </w:r>
      <w:r>
        <w:rPr>
          <w:rFonts w:hint="eastAsia" w:ascii="仿宋_GB2312"/>
        </w:rPr>
        <w:t>辆公务用车燃油、维修、车辆通行等方面支出，主要保障苏保区资源巡护、火情监测等工作开展。</w:t>
      </w:r>
    </w:p>
    <w:p w14:paraId="6E5EBA7D">
      <w:pPr>
        <w:spacing w:line="600" w:lineRule="exact"/>
        <w:ind w:firstLine="640" w:firstLineChars="200"/>
        <w:rPr>
          <w:rFonts w:ascii="黑体" w:eastAsia="黑体"/>
        </w:rPr>
      </w:pPr>
      <w:r>
        <w:rPr>
          <w:rFonts w:hint="eastAsia" w:ascii="黑体" w:eastAsia="黑体"/>
        </w:rPr>
        <w:t>八、政府性基金预算支出情况说明</w:t>
      </w:r>
    </w:p>
    <w:p w14:paraId="1FC14FB5">
      <w:pPr>
        <w:spacing w:line="600" w:lineRule="exact"/>
        <w:ind w:firstLine="640" w:firstLineChars="200"/>
        <w:rPr>
          <w:rFonts w:ascii="仿宋_GB2312"/>
        </w:rPr>
      </w:pPr>
      <w:r>
        <w:rPr>
          <w:rFonts w:hint="eastAsia" w:ascii="仿宋_GB2312"/>
          <w:u w:val="single"/>
        </w:rPr>
        <w:t>苏保局2</w:t>
      </w:r>
      <w:r>
        <w:rPr>
          <w:rFonts w:hint="eastAsia" w:ascii="仿宋_GB2312"/>
        </w:rPr>
        <w:t>021年没有使用政府性基金预算拨款安排的支出。</w:t>
      </w:r>
    </w:p>
    <w:p w14:paraId="50F338A6">
      <w:pPr>
        <w:spacing w:line="600" w:lineRule="exact"/>
        <w:ind w:firstLine="640" w:firstLineChars="200"/>
        <w:rPr>
          <w:rFonts w:ascii="黑体" w:eastAsia="黑体"/>
        </w:rPr>
      </w:pPr>
      <w:r>
        <w:rPr>
          <w:rFonts w:hint="eastAsia" w:ascii="黑体" w:eastAsia="黑体"/>
        </w:rPr>
        <w:t>九、其他重要事项的情况说明</w:t>
      </w:r>
    </w:p>
    <w:p w14:paraId="12BF50D1">
      <w:pPr>
        <w:spacing w:line="600" w:lineRule="exact"/>
        <w:ind w:firstLine="643" w:firstLineChars="200"/>
        <w:rPr>
          <w:rFonts w:ascii="楷体_GB2312" w:eastAsia="楷体_GB2312"/>
          <w:b/>
        </w:rPr>
      </w:pPr>
      <w:r>
        <w:rPr>
          <w:rFonts w:hint="eastAsia" w:ascii="楷体_GB2312" w:eastAsia="楷体_GB2312"/>
          <w:b/>
        </w:rPr>
        <w:t>（一）业务运行经费</w:t>
      </w:r>
    </w:p>
    <w:p w14:paraId="270739E4">
      <w:pPr>
        <w:spacing w:line="600" w:lineRule="exact"/>
        <w:ind w:firstLine="640" w:firstLineChars="200"/>
      </w:pPr>
      <w:r>
        <w:rPr>
          <w:rFonts w:hint="eastAsia" w:ascii="仿宋_GB2312"/>
        </w:rPr>
        <w:t>2021年，</w:t>
      </w:r>
      <w:r>
        <w:rPr>
          <w:rFonts w:hint="eastAsia"/>
        </w:rPr>
        <w:t>苏保局</w:t>
      </w:r>
      <w:r>
        <w:rPr>
          <w:rFonts w:hint="eastAsia" w:ascii="仿宋_GB2312"/>
        </w:rPr>
        <w:t>的机关运行经费财政拨款预算为</w:t>
      </w:r>
      <w:r>
        <w:t>315.9</w:t>
      </w:r>
      <w:r>
        <w:rPr>
          <w:rFonts w:hint="eastAsia" w:ascii="仿宋_GB2312"/>
        </w:rPr>
        <w:t>万元，比2020年预算</w:t>
      </w:r>
      <w:r>
        <w:rPr>
          <w:rFonts w:hint="eastAsia" w:ascii="仿宋_GB2312"/>
          <w:u w:val="single"/>
        </w:rPr>
        <w:t>减少</w:t>
      </w:r>
      <w:r>
        <w:t>24.99</w:t>
      </w:r>
      <w:r>
        <w:rPr>
          <w:rFonts w:hint="eastAsia" w:ascii="仿宋_GB2312"/>
        </w:rPr>
        <w:t>万元，</w:t>
      </w:r>
      <w:r>
        <w:rPr>
          <w:rFonts w:hint="eastAsia" w:ascii="仿宋_GB2312"/>
          <w:u w:val="single"/>
        </w:rPr>
        <w:t>下降</w:t>
      </w:r>
      <w:r>
        <w:t>7.3</w:t>
      </w:r>
      <w:r>
        <w:rPr>
          <w:rFonts w:hint="eastAsia" w:ascii="仿宋_GB2312"/>
        </w:rPr>
        <w:t>%。</w:t>
      </w:r>
    </w:p>
    <w:p w14:paraId="39EF7C3D">
      <w:pPr>
        <w:spacing w:line="600" w:lineRule="exact"/>
        <w:ind w:firstLine="643" w:firstLineChars="200"/>
        <w:rPr>
          <w:rFonts w:ascii="楷体_GB2312" w:eastAsia="楷体_GB2312"/>
          <w:b/>
        </w:rPr>
      </w:pPr>
      <w:r>
        <w:rPr>
          <w:rFonts w:hint="eastAsia" w:ascii="楷体_GB2312" w:eastAsia="楷体_GB2312"/>
          <w:b/>
        </w:rPr>
        <w:t>（二）国有资产占有使用情况</w:t>
      </w:r>
    </w:p>
    <w:p w14:paraId="30505AE4">
      <w:pPr>
        <w:spacing w:line="600" w:lineRule="exact"/>
        <w:ind w:firstLine="640" w:firstLineChars="200"/>
        <w:rPr>
          <w:rFonts w:ascii="仿宋_GB2312"/>
        </w:rPr>
      </w:pPr>
      <w:r>
        <w:rPr>
          <w:rFonts w:hint="eastAsia" w:ascii="仿宋_GB2312"/>
        </w:rPr>
        <w:t>截至2020年底，</w:t>
      </w:r>
      <w:r>
        <w:rPr>
          <w:rFonts w:hint="eastAsia"/>
        </w:rPr>
        <w:t>苏保局</w:t>
      </w:r>
      <w:r>
        <w:rPr>
          <w:rFonts w:hint="eastAsia" w:ascii="仿宋_GB2312"/>
        </w:rPr>
        <w:t>共有车辆</w:t>
      </w:r>
      <w:r>
        <w:t>3</w:t>
      </w:r>
      <w:r>
        <w:rPr>
          <w:rFonts w:hint="eastAsia" w:ascii="仿宋_GB2312"/>
        </w:rPr>
        <w:t>辆，其中，执法执勤用车</w:t>
      </w:r>
      <w:r>
        <w:t>0</w:t>
      </w:r>
      <w:r>
        <w:rPr>
          <w:rFonts w:hint="eastAsia" w:ascii="仿宋_GB2312"/>
        </w:rPr>
        <w:t>辆</w:t>
      </w:r>
      <w:r>
        <w:rPr>
          <w:rFonts w:hint="eastAsia" w:ascii="仿宋_GB2312"/>
          <w:u w:val="single"/>
        </w:rPr>
        <w:t>（若没有的请填写0辆）</w:t>
      </w:r>
      <w:r>
        <w:rPr>
          <w:rFonts w:hint="eastAsia" w:ascii="仿宋_GB2312"/>
        </w:rPr>
        <w:t>。单位价值200万元以上大型设备</w:t>
      </w:r>
      <w:r>
        <w:t>0</w:t>
      </w:r>
      <w:r>
        <w:rPr>
          <w:rFonts w:hint="eastAsia" w:ascii="仿宋_GB2312"/>
        </w:rPr>
        <w:t>台</w:t>
      </w:r>
      <w:r>
        <w:rPr>
          <w:rFonts w:hint="eastAsia" w:ascii="仿宋_GB2312"/>
          <w:u w:val="single"/>
        </w:rPr>
        <w:t>（套）</w:t>
      </w:r>
      <w:r>
        <w:rPr>
          <w:rFonts w:hint="eastAsia" w:ascii="仿宋_GB2312"/>
        </w:rPr>
        <w:t>。</w:t>
      </w:r>
    </w:p>
    <w:p w14:paraId="7CBFD186">
      <w:pPr>
        <w:spacing w:line="600" w:lineRule="exact"/>
        <w:ind w:firstLine="643" w:firstLineChars="200"/>
        <w:rPr>
          <w:rFonts w:ascii="楷体_GB2312" w:eastAsia="楷体_GB2312"/>
          <w:b/>
        </w:rPr>
      </w:pPr>
      <w:r>
        <w:rPr>
          <w:rFonts w:hint="eastAsia" w:ascii="楷体_GB2312" w:eastAsia="楷体_GB2312"/>
          <w:b/>
        </w:rPr>
        <w:t>（三）绩效目标设置情况</w:t>
      </w:r>
    </w:p>
    <w:p w14:paraId="6D33CB90">
      <w:pPr>
        <w:spacing w:line="600" w:lineRule="exact"/>
        <w:ind w:firstLine="640" w:firstLineChars="200"/>
        <w:rPr>
          <w:rFonts w:ascii="仿宋_GB2312"/>
        </w:rPr>
      </w:pPr>
      <w:r>
        <w:rPr>
          <w:rFonts w:hint="eastAsia" w:ascii="仿宋_GB2312"/>
        </w:rPr>
        <w:t>2021年</w:t>
      </w:r>
      <w:r>
        <w:rPr>
          <w:rFonts w:hint="eastAsia"/>
        </w:rPr>
        <w:t>苏保局</w:t>
      </w:r>
      <w:r>
        <w:rPr>
          <w:rFonts w:hint="eastAsia" w:ascii="仿宋_GB2312"/>
        </w:rPr>
        <w:t>部门通用项目和专用项目均按要求实行绩效目标管理，涉及一般公共预算当年拨款森林防火专项</w:t>
      </w:r>
      <w:r>
        <w:t>20</w:t>
      </w:r>
      <w:r>
        <w:rPr>
          <w:rFonts w:hint="eastAsia" w:ascii="仿宋_GB2312"/>
        </w:rPr>
        <w:t>万元。</w:t>
      </w:r>
    </w:p>
    <w:p w14:paraId="5FC7B0A7">
      <w:pPr>
        <w:spacing w:line="600" w:lineRule="exact"/>
        <w:ind w:firstLine="640" w:firstLineChars="200"/>
        <w:rPr>
          <w:rFonts w:ascii="黑体" w:eastAsia="黑体"/>
        </w:rPr>
      </w:pPr>
      <w:r>
        <w:rPr>
          <w:rFonts w:hint="eastAsia" w:ascii="黑体" w:eastAsia="黑体"/>
        </w:rPr>
        <w:t>十、名词解释</w:t>
      </w:r>
    </w:p>
    <w:p w14:paraId="39E60CB7">
      <w:pPr>
        <w:spacing w:line="600" w:lineRule="exact"/>
        <w:ind w:firstLine="640" w:firstLineChars="200"/>
        <w:rPr>
          <w:rFonts w:ascii="仿宋_GB2312"/>
          <w:u w:val="single"/>
        </w:rPr>
      </w:pPr>
      <w:r>
        <w:rPr>
          <w:rFonts w:hint="eastAsia" w:ascii="仿宋_GB2312"/>
          <w:u w:val="single"/>
        </w:rPr>
        <w:t>（请各部门单位参照省级部门2020年部门预算公开信息，对本部门单位2021年部门预算公开信息中出现的专业性较强的名词进行解释。）例如：</w:t>
      </w:r>
    </w:p>
    <w:p w14:paraId="2B1DFB33">
      <w:pPr>
        <w:spacing w:line="600" w:lineRule="exact"/>
        <w:ind w:firstLine="640" w:firstLineChars="200"/>
        <w:rPr>
          <w:rFonts w:ascii="仿宋_GB2312"/>
        </w:rPr>
      </w:pPr>
      <w:r>
        <w:rPr>
          <w:rFonts w:hint="eastAsia" w:ascii="仿宋_GB2312"/>
        </w:rPr>
        <w:t>1.</w:t>
      </w:r>
      <w:r>
        <w:rPr>
          <w:rFonts w:hint="eastAsia" w:ascii="仿宋_GB2312"/>
          <w:lang w:eastAsia="zh-CN"/>
        </w:rPr>
        <w:t>一般公共预算财政拨款</w:t>
      </w:r>
      <w:r>
        <w:rPr>
          <w:rFonts w:hint="eastAsia" w:ascii="仿宋_GB2312"/>
        </w:rPr>
        <w:t>收入：指市级财政当年拨付的资金。</w:t>
      </w:r>
    </w:p>
    <w:p w14:paraId="2D573230">
      <w:pPr>
        <w:spacing w:line="600" w:lineRule="exact"/>
        <w:ind w:firstLine="640" w:firstLineChars="200"/>
        <w:rPr>
          <w:rFonts w:ascii="仿宋_GB2312"/>
        </w:rPr>
      </w:pPr>
      <w:r>
        <w:rPr>
          <w:rFonts w:hint="eastAsia" w:ascii="仿宋_GB2312"/>
        </w:rPr>
        <w:t>2.医疗卫生与计划生育（类）行政事业单位医疗（款）行政单位医疗（项）：指市机关及参公管理事业单位用于缴纳单位基本医疗保险支出。（单位涉及的所有支出功能分类科目都</w:t>
      </w:r>
      <w:r>
        <w:rPr>
          <w:rFonts w:hint="eastAsia" w:ascii="仿宋_GB2312"/>
          <w:lang w:eastAsia="zh-CN"/>
        </w:rPr>
        <w:t>要</w:t>
      </w:r>
      <w:r>
        <w:rPr>
          <w:rFonts w:hint="eastAsia" w:ascii="仿宋_GB2312"/>
        </w:rPr>
        <w:t>解释）</w:t>
      </w:r>
    </w:p>
    <w:p w14:paraId="344B6C45">
      <w:pPr>
        <w:spacing w:line="600" w:lineRule="exact"/>
        <w:ind w:firstLine="640" w:firstLineChars="200"/>
        <w:rPr>
          <w:rFonts w:ascii="仿宋_GB2312"/>
        </w:rPr>
      </w:pPr>
      <w:r>
        <w:rPr>
          <w:rFonts w:hint="eastAsia" w:ascii="仿宋_GB2312"/>
        </w:rPr>
        <w:t>3.基本支出：指为保证机构正常运转，完成日常工作任务而发生的人员支出和公用支出。</w:t>
      </w:r>
    </w:p>
    <w:p w14:paraId="5DB7FF6F">
      <w:pPr>
        <w:spacing w:line="600" w:lineRule="exact"/>
        <w:ind w:firstLine="640" w:firstLineChars="200"/>
        <w:rPr>
          <w:rFonts w:ascii="仿宋_GB2312"/>
        </w:rPr>
      </w:pPr>
      <w:r>
        <w:rPr>
          <w:rFonts w:hint="eastAsia" w:ascii="仿宋_GB2312"/>
        </w:rPr>
        <w:t>4.项目支出：指在基本支出之外为完成特定行政任务和事业发展目标所发生的支出。</w:t>
      </w:r>
    </w:p>
    <w:p w14:paraId="29BA33EF">
      <w:pPr>
        <w:spacing w:line="600" w:lineRule="exact"/>
        <w:ind w:firstLine="640" w:firstLineChars="200"/>
        <w:rPr>
          <w:rFonts w:ascii="仿宋_GB2312"/>
        </w:rPr>
      </w:pPr>
      <w:r>
        <w:rPr>
          <w:rFonts w:hint="eastAsia" w:ascii="仿宋_GB2312"/>
        </w:rPr>
        <w:t>5.“三公”经费：纳入预决算管理的“三公”经费，是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6A04DDFB">
      <w:pPr>
        <w:spacing w:line="600" w:lineRule="exact"/>
        <w:ind w:firstLine="640" w:firstLineChars="200"/>
        <w:rPr>
          <w:rFonts w:hint="eastAsia" w:ascii="仿宋_GB2312"/>
        </w:rPr>
      </w:pPr>
      <w:r>
        <w:rPr>
          <w:rFonts w:hint="eastAsia" w:ascii="仿宋_GB2312"/>
        </w:rPr>
        <w:t>6.业务运行费：为保障行政单位（包含参照公务员法管理的事业单位）运行用于购买货物和服务的各项资金。包括办公及办公费、水费、电费、印刷费、邮电费、差旅费、会议费等费用开支。</w:t>
      </w:r>
    </w:p>
    <w:p w14:paraId="28908E90">
      <w:pPr>
        <w:spacing w:line="600" w:lineRule="exact"/>
        <w:ind w:firstLine="640" w:firstLineChars="200"/>
        <w:rPr>
          <w:rFonts w:hint="eastAsia" w:ascii="仿宋_GB2312"/>
        </w:rPr>
      </w:pPr>
    </w:p>
    <w:p w14:paraId="3973C03B">
      <w:pPr>
        <w:spacing w:line="600" w:lineRule="exact"/>
        <w:rPr>
          <w:rFonts w:ascii="仿宋_GB2312"/>
        </w:rPr>
      </w:pPr>
      <w:r>
        <w:rPr>
          <w:rFonts w:hint="eastAsia" w:ascii="仿宋_GB2312"/>
        </w:rPr>
        <w:t>附件：表1.部门收支总表</w:t>
      </w:r>
    </w:p>
    <w:p w14:paraId="7BD0CF0A">
      <w:pPr>
        <w:spacing w:line="600" w:lineRule="exact"/>
        <w:rPr>
          <w:rFonts w:ascii="仿宋_GB2312"/>
        </w:rPr>
      </w:pPr>
      <w:r>
        <w:rPr>
          <w:rFonts w:hint="eastAsia" w:ascii="仿宋_GB2312"/>
        </w:rPr>
        <w:t xml:space="preserve">      表1-1.部门收入总表</w:t>
      </w:r>
    </w:p>
    <w:p w14:paraId="2558BC9F">
      <w:pPr>
        <w:spacing w:line="600" w:lineRule="exact"/>
        <w:rPr>
          <w:rFonts w:ascii="仿宋_GB2312"/>
        </w:rPr>
      </w:pPr>
      <w:r>
        <w:rPr>
          <w:rFonts w:hint="eastAsia" w:ascii="仿宋_GB2312"/>
        </w:rPr>
        <w:t xml:space="preserve">      表1-2.部门支出总表</w:t>
      </w:r>
    </w:p>
    <w:p w14:paraId="357358BC">
      <w:pPr>
        <w:spacing w:line="600" w:lineRule="exact"/>
        <w:ind w:firstLine="960" w:firstLineChars="300"/>
        <w:rPr>
          <w:rFonts w:ascii="仿宋_GB2312"/>
        </w:rPr>
      </w:pPr>
      <w:r>
        <w:rPr>
          <w:rFonts w:hint="eastAsia" w:ascii="仿宋_GB2312"/>
        </w:rPr>
        <w:t>表2.财政拨款收支预算总表</w:t>
      </w:r>
    </w:p>
    <w:p w14:paraId="0AF274F9">
      <w:pPr>
        <w:spacing w:line="600" w:lineRule="exact"/>
        <w:ind w:firstLine="960" w:firstLineChars="300"/>
        <w:rPr>
          <w:rFonts w:ascii="仿宋_GB2312"/>
        </w:rPr>
      </w:pPr>
      <w:r>
        <w:rPr>
          <w:rFonts w:hint="eastAsia" w:ascii="仿宋_GB2312"/>
        </w:rPr>
        <w:t>表2-1.财政拨款支出预算表</w:t>
      </w:r>
    </w:p>
    <w:p w14:paraId="5A489A58">
      <w:pPr>
        <w:spacing w:line="600" w:lineRule="exact"/>
        <w:ind w:firstLine="960" w:firstLineChars="300"/>
        <w:rPr>
          <w:rFonts w:ascii="仿宋_GB2312"/>
        </w:rPr>
      </w:pPr>
      <w:r>
        <w:rPr>
          <w:rFonts w:hint="eastAsia" w:ascii="仿宋_GB2312"/>
        </w:rPr>
        <w:t>表3.一般公共预算支出预算表</w:t>
      </w:r>
    </w:p>
    <w:p w14:paraId="3B3E32EF">
      <w:pPr>
        <w:spacing w:line="600" w:lineRule="exact"/>
        <w:ind w:firstLine="960" w:firstLineChars="300"/>
        <w:rPr>
          <w:rFonts w:ascii="仿宋_GB2312"/>
        </w:rPr>
      </w:pPr>
      <w:r>
        <w:rPr>
          <w:rFonts w:hint="eastAsia" w:ascii="仿宋_GB2312"/>
        </w:rPr>
        <w:t>表3-1.一般公共预算基本支出预算表</w:t>
      </w:r>
    </w:p>
    <w:p w14:paraId="60F30B56">
      <w:pPr>
        <w:spacing w:line="600" w:lineRule="exact"/>
        <w:ind w:firstLine="960" w:firstLineChars="300"/>
        <w:rPr>
          <w:rFonts w:ascii="仿宋_GB2312"/>
        </w:rPr>
      </w:pPr>
      <w:r>
        <w:rPr>
          <w:rFonts w:hint="eastAsia" w:ascii="仿宋_GB2312"/>
        </w:rPr>
        <w:t>表3-2.一般公共预算项目支出预算表</w:t>
      </w:r>
    </w:p>
    <w:p w14:paraId="4A3AC1A5">
      <w:pPr>
        <w:spacing w:line="600" w:lineRule="exact"/>
        <w:ind w:firstLine="960" w:firstLineChars="300"/>
        <w:rPr>
          <w:rFonts w:ascii="仿宋_GB2312"/>
        </w:rPr>
      </w:pPr>
      <w:r>
        <w:rPr>
          <w:rFonts w:hint="eastAsia" w:ascii="仿宋_GB2312"/>
        </w:rPr>
        <w:t>表3-3.一般公共预算“三公”经费支出预算表</w:t>
      </w:r>
    </w:p>
    <w:p w14:paraId="2DBFA3E0">
      <w:pPr>
        <w:spacing w:line="600" w:lineRule="exact"/>
        <w:ind w:firstLine="960" w:firstLineChars="300"/>
        <w:rPr>
          <w:rFonts w:ascii="仿宋_GB2312"/>
        </w:rPr>
      </w:pPr>
      <w:r>
        <w:rPr>
          <w:rFonts w:hint="eastAsia" w:ascii="仿宋_GB2312"/>
        </w:rPr>
        <w:t>表4.政府性基金支出预算表</w:t>
      </w:r>
    </w:p>
    <w:p w14:paraId="131CFAD6">
      <w:pPr>
        <w:spacing w:line="600" w:lineRule="exact"/>
        <w:ind w:firstLine="960" w:firstLineChars="300"/>
        <w:rPr>
          <w:rFonts w:ascii="仿宋_GB2312"/>
        </w:rPr>
      </w:pPr>
      <w:r>
        <w:rPr>
          <w:rFonts w:hint="eastAsia" w:ascii="仿宋_GB2312"/>
        </w:rPr>
        <w:t>表4-1.政府性基金预算“三公”经费支出预算表</w:t>
      </w:r>
    </w:p>
    <w:p w14:paraId="542F6605">
      <w:pPr>
        <w:spacing w:line="600" w:lineRule="exact"/>
        <w:ind w:firstLine="960" w:firstLineChars="300"/>
        <w:rPr>
          <w:rFonts w:ascii="仿宋_GB2312"/>
        </w:rPr>
      </w:pPr>
      <w:r>
        <w:rPr>
          <w:rFonts w:hint="eastAsia" w:ascii="仿宋_GB2312"/>
        </w:rPr>
        <w:t>表5.国有资本经营预算支出预算表</w:t>
      </w:r>
    </w:p>
    <w:p w14:paraId="2C90B9DA">
      <w:pPr>
        <w:spacing w:line="600" w:lineRule="exact"/>
        <w:ind w:firstLine="960" w:firstLineChars="300"/>
        <w:rPr>
          <w:rFonts w:ascii="仿宋_GB2312"/>
        </w:rPr>
      </w:pPr>
      <w:r>
        <w:rPr>
          <w:rFonts w:hint="eastAsia" w:ascii="仿宋_GB2312"/>
        </w:rPr>
        <w:t>表6.（部门）单位预算项目绩效目标表</w:t>
      </w:r>
    </w:p>
    <w:p w14:paraId="07A7A45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1A42C">
    <w:pPr>
      <w:pStyle w:val="3"/>
      <w:framePr w:wrap="around" w:vAnchor="text" w:hAnchor="margin" w:xAlign="center" w:y="1"/>
      <w:rPr>
        <w:rStyle w:val="7"/>
      </w:rPr>
    </w:pPr>
    <w:r>
      <w:fldChar w:fldCharType="begin"/>
    </w:r>
    <w:r>
      <w:rPr>
        <w:rStyle w:val="7"/>
      </w:rPr>
      <w:instrText xml:space="preserve">PAGE  </w:instrText>
    </w:r>
    <w:r>
      <w:fldChar w:fldCharType="separate"/>
    </w:r>
    <w:r>
      <w:fldChar w:fldCharType="end"/>
    </w:r>
  </w:p>
  <w:p w14:paraId="53105485">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392"/>
    <w:rsid w:val="004572D6"/>
    <w:rsid w:val="00942A31"/>
    <w:rsid w:val="00A47392"/>
    <w:rsid w:val="00A87AA1"/>
    <w:rsid w:val="00C9622A"/>
    <w:rsid w:val="00CC17A3"/>
    <w:rsid w:val="19EB4E56"/>
    <w:rsid w:val="712711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ody Text"/>
    <w:basedOn w:val="1"/>
    <w:link w:val="8"/>
    <w:semiHidden/>
    <w:unhideWhenUsed/>
    <w:uiPriority w:val="0"/>
    <w:pPr>
      <w:spacing w:beforeLines="30"/>
    </w:pPr>
    <w:rPr>
      <w:rFonts w:ascii="仿宋_GB2312"/>
      <w:sz w:val="30"/>
    </w:rPr>
  </w:style>
  <w:style w:type="paragraph" w:styleId="3">
    <w:name w:val="footer"/>
    <w:basedOn w:val="1"/>
    <w:link w:val="10"/>
    <w:unhideWhenUsed/>
    <w:uiPriority w:val="99"/>
    <w:pPr>
      <w:tabs>
        <w:tab w:val="center" w:pos="4153"/>
        <w:tab w:val="right" w:pos="8306"/>
      </w:tabs>
      <w:snapToGrid w:val="0"/>
      <w:jc w:val="left"/>
    </w:pPr>
    <w:rPr>
      <w:sz w:val="18"/>
      <w:szCs w:val="18"/>
    </w:rPr>
  </w:style>
  <w:style w:type="paragraph" w:styleId="4">
    <w:name w:val="header"/>
    <w:basedOn w:val="1"/>
    <w:link w:val="9"/>
    <w:unhideWhenUsed/>
    <w:uiPriority w:val="99"/>
    <w:pPr>
      <w:pBdr>
        <w:bottom w:val="single" w:color="auto" w:sz="6" w:space="1"/>
      </w:pBdr>
      <w:tabs>
        <w:tab w:val="center" w:pos="4153"/>
        <w:tab w:val="right" w:pos="8306"/>
      </w:tabs>
      <w:snapToGrid w:val="0"/>
      <w:jc w:val="center"/>
    </w:pPr>
    <w:rPr>
      <w:sz w:val="18"/>
      <w:szCs w:val="18"/>
    </w:rPr>
  </w:style>
  <w:style w:type="character" w:styleId="7">
    <w:name w:val="page number"/>
    <w:basedOn w:val="6"/>
    <w:uiPriority w:val="0"/>
  </w:style>
  <w:style w:type="character" w:customStyle="1" w:styleId="8">
    <w:name w:val="正文文本 Char"/>
    <w:basedOn w:val="6"/>
    <w:link w:val="2"/>
    <w:semiHidden/>
    <w:uiPriority w:val="0"/>
    <w:rPr>
      <w:rFonts w:ascii="仿宋_GB2312" w:hAnsi="Times New Roman" w:eastAsia="仿宋_GB2312" w:cs="Times New Roman"/>
      <w:sz w:val="30"/>
      <w:szCs w:val="32"/>
    </w:rPr>
  </w:style>
  <w:style w:type="character" w:customStyle="1" w:styleId="9">
    <w:name w:val="页眉 Char"/>
    <w:basedOn w:val="6"/>
    <w:link w:val="4"/>
    <w:uiPriority w:val="99"/>
    <w:rPr>
      <w:rFonts w:ascii="Times New Roman" w:hAnsi="Times New Roman" w:eastAsia="仿宋_GB2312" w:cs="Times New Roman"/>
      <w:sz w:val="18"/>
      <w:szCs w:val="18"/>
    </w:rPr>
  </w:style>
  <w:style w:type="character" w:customStyle="1" w:styleId="10">
    <w:name w:val="页脚 Char"/>
    <w:basedOn w:val="6"/>
    <w:link w:val="3"/>
    <w:uiPriority w:val="99"/>
    <w:rPr>
      <w:rFonts w:ascii="Times New Roman" w:hAnsi="Times New Roman" w:eastAsia="仿宋_GB2312"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2568</Words>
  <Characters>2860</Characters>
  <Lines>20</Lines>
  <Paragraphs>5</Paragraphs>
  <TotalTime>1</TotalTime>
  <ScaleCrop>false</ScaleCrop>
  <LinksUpToDate>false</LinksUpToDate>
  <CharactersWithSpaces>2879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2021-03-10T02:34:00Z</dcterms:created>
  <dc:creator>杨晓翠</dc:creator>
  <cp:lastModifiedBy>苗琪玥</cp:lastModifiedBy>
  <dcterms:modified xsi:type="dcterms:W3CDTF">2026-11-06T08:44:33Z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eyJoZGlkIjoiNDMyZGVhNTA1MWY2NzJlZDY4MTIyODQ3ZDNiOTljN2YiLCJ1c2VySWQiOiIzNjYxNjkxODQifQ==</vt:lpwstr>
  </property>
  <property fmtid="{D5CDD505-2E9C-101B-9397-08002B2CF9AE}" pid="3" name="KSOProductBuildVer">
    <vt:lpwstr>2052-12.1.0.29161</vt:lpwstr>
  </property>
  <property fmtid="{D5CDD505-2E9C-101B-9397-08002B2CF9AE}" pid="4" name="ICV">
    <vt:lpwstr>1C92A5A8B15346C58C70B2CF916A22B5_12</vt:lpwstr>
  </property>
</Properties>
</file>