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0936E8">
      <w:pPr>
        <w:pStyle w:val="8"/>
        <w:spacing w:before="93"/>
        <w:jc w:val="center"/>
        <w:rPr>
          <w:rFonts w:ascii="Times New Roman" w:eastAsia="方正小标宋简体"/>
          <w:kern w:val="2"/>
          <w:sz w:val="44"/>
          <w:szCs w:val="44"/>
        </w:rPr>
      </w:pPr>
      <w:bookmarkStart w:id="0" w:name="_Toc15396475"/>
      <w:bookmarkStart w:id="1" w:name="_Toc15378441"/>
      <w:bookmarkStart w:id="2" w:name="_Toc15306267"/>
      <w:bookmarkStart w:id="3" w:name="_Toc15396597"/>
      <w:bookmarkStart w:id="4" w:name="_Toc15377193"/>
      <w:bookmarkStart w:id="5" w:name="_Toc15377425"/>
    </w:p>
    <w:p w14:paraId="6514284D">
      <w:pPr>
        <w:pStyle w:val="8"/>
        <w:spacing w:before="93"/>
        <w:jc w:val="center"/>
        <w:rPr>
          <w:rFonts w:ascii="Times New Roman" w:eastAsia="方正小标宋简体"/>
          <w:kern w:val="2"/>
          <w:sz w:val="44"/>
          <w:szCs w:val="44"/>
        </w:rPr>
      </w:pPr>
    </w:p>
    <w:p w14:paraId="583F5F13">
      <w:pPr>
        <w:pStyle w:val="8"/>
        <w:spacing w:before="93"/>
        <w:jc w:val="center"/>
        <w:rPr>
          <w:rFonts w:ascii="Times New Roman" w:eastAsia="方正小标宋简体"/>
          <w:kern w:val="2"/>
          <w:sz w:val="44"/>
          <w:szCs w:val="44"/>
        </w:rPr>
      </w:pPr>
    </w:p>
    <w:p w14:paraId="06209844">
      <w:pPr>
        <w:pStyle w:val="8"/>
        <w:spacing w:before="93"/>
        <w:jc w:val="center"/>
        <w:rPr>
          <w:rFonts w:ascii="Times New Roman" w:eastAsia="方正小标宋简体"/>
          <w:kern w:val="2"/>
          <w:sz w:val="44"/>
          <w:szCs w:val="44"/>
        </w:rPr>
      </w:pPr>
    </w:p>
    <w:p w14:paraId="1F970FA6">
      <w:pPr>
        <w:pStyle w:val="8"/>
        <w:spacing w:before="93"/>
        <w:jc w:val="center"/>
        <w:rPr>
          <w:rFonts w:ascii="Times New Roman" w:eastAsia="方正小标宋简体"/>
          <w:kern w:val="2"/>
          <w:sz w:val="44"/>
          <w:szCs w:val="44"/>
        </w:rPr>
      </w:pPr>
    </w:p>
    <w:p w14:paraId="0240794C">
      <w:pPr>
        <w:pStyle w:val="8"/>
        <w:spacing w:before="93"/>
        <w:jc w:val="center"/>
        <w:rPr>
          <w:rFonts w:ascii="Times New Roman" w:eastAsia="方正小标宋简体"/>
          <w:kern w:val="2"/>
          <w:sz w:val="44"/>
          <w:szCs w:val="44"/>
        </w:rPr>
      </w:pPr>
      <w:r>
        <w:rPr>
          <w:rFonts w:hint="eastAsia" w:ascii="Times New Roman" w:eastAsia="方正小标宋简体"/>
          <w:kern w:val="2"/>
          <w:sz w:val="44"/>
          <w:szCs w:val="44"/>
        </w:rPr>
        <w:t>四川攀枝花苏铁国家级自然区保护中心2025年度市级部门决算公开编制说明</w:t>
      </w:r>
    </w:p>
    <w:p w14:paraId="2FA25776">
      <w:pPr>
        <w:pStyle w:val="8"/>
        <w:spacing w:before="93"/>
        <w:rPr>
          <w:rFonts w:ascii="Times New Roman" w:eastAsia="方正小标宋简体"/>
          <w:kern w:val="2"/>
          <w:sz w:val="72"/>
          <w:szCs w:val="72"/>
        </w:rPr>
        <w:sectPr>
          <w:headerReference r:id="rId4" w:type="first"/>
          <w:footerReference r:id="rId6" w:type="first"/>
          <w:headerReference r:id="rId3" w:type="default"/>
          <w:footerReference r:id="rId5" w:type="default"/>
          <w:pgSz w:w="11906" w:h="16838"/>
          <w:pgMar w:top="1440" w:right="1800" w:bottom="1440" w:left="1800" w:header="851" w:footer="992" w:gutter="0"/>
          <w:pgNumType w:start="1"/>
          <w:cols w:space="425" w:num="1"/>
          <w:docGrid w:type="lines" w:linePitch="312" w:charSpace="0"/>
        </w:sectPr>
      </w:pPr>
    </w:p>
    <w:p w14:paraId="767A7B4A">
      <w:pPr>
        <w:pStyle w:val="8"/>
        <w:spacing w:before="93"/>
        <w:rPr>
          <w:rFonts w:ascii="Times New Roman" w:eastAsia="方正小标宋简体"/>
          <w:kern w:val="2"/>
          <w:sz w:val="72"/>
          <w:szCs w:val="72"/>
        </w:rPr>
      </w:pPr>
    </w:p>
    <w:p w14:paraId="5EDF3ADA">
      <w:pPr>
        <w:pStyle w:val="8"/>
        <w:spacing w:before="93"/>
        <w:rPr>
          <w:rFonts w:ascii="Times New Roman" w:eastAsia="方正小标宋简体"/>
          <w:kern w:val="2"/>
          <w:sz w:val="72"/>
          <w:szCs w:val="72"/>
        </w:rPr>
      </w:pPr>
    </w:p>
    <w:p w14:paraId="2D4C02CE">
      <w:pPr>
        <w:pStyle w:val="8"/>
        <w:spacing w:before="93"/>
        <w:jc w:val="center"/>
        <w:rPr>
          <w:rFonts w:hint="eastAsia" w:ascii="Times New Roman" w:eastAsia="方正小标宋简体"/>
          <w:kern w:val="2"/>
          <w:sz w:val="44"/>
          <w:szCs w:val="44"/>
        </w:rPr>
      </w:pPr>
      <w:r>
        <w:rPr>
          <w:rFonts w:hint="eastAsia" w:ascii="Times New Roman" w:eastAsia="方正小标宋简体"/>
          <w:kern w:val="2"/>
          <w:sz w:val="44"/>
          <w:szCs w:val="44"/>
        </w:rPr>
        <w:t>2025年度四川攀枝花苏铁国家级自然区</w:t>
      </w:r>
    </w:p>
    <w:p w14:paraId="44FB06B3">
      <w:pPr>
        <w:pStyle w:val="8"/>
        <w:spacing w:before="93"/>
        <w:jc w:val="center"/>
        <w:rPr>
          <w:rFonts w:ascii="Times New Roman" w:hAnsi="Times New Roman"/>
        </w:rPr>
        <w:sectPr>
          <w:pgSz w:w="11906" w:h="16838"/>
          <w:pgMar w:top="1440" w:right="1800" w:bottom="1440" w:left="1800" w:header="851" w:footer="992" w:gutter="0"/>
          <w:pgNumType w:start="1"/>
          <w:cols w:space="425" w:num="1"/>
          <w:docGrid w:type="lines" w:linePitch="312" w:charSpace="0"/>
        </w:sectPr>
      </w:pPr>
      <w:r>
        <w:rPr>
          <w:rFonts w:hint="eastAsia" w:ascii="Times New Roman" w:eastAsia="方正小标宋简体"/>
          <w:kern w:val="2"/>
          <w:sz w:val="44"/>
          <w:szCs w:val="44"/>
        </w:rPr>
        <w:t>保护中心决算</w:t>
      </w:r>
    </w:p>
    <w:p w14:paraId="6519AC7D"/>
    <w:bookmarkEnd w:id="0"/>
    <w:bookmarkEnd w:id="1"/>
    <w:bookmarkEnd w:id="2"/>
    <w:bookmarkEnd w:id="3"/>
    <w:bookmarkEnd w:id="4"/>
    <w:bookmarkEnd w:id="5"/>
    <w:p w14:paraId="5CE4BDC4">
      <w:pPr>
        <w:widowControl/>
        <w:jc w:val="center"/>
        <w:rPr>
          <w:rFonts w:eastAsia="黑体"/>
          <w:sz w:val="48"/>
          <w:szCs w:val="48"/>
        </w:rPr>
      </w:pPr>
      <w:r>
        <w:rPr>
          <w:rFonts w:hint="eastAsia" w:eastAsia="黑体"/>
          <w:sz w:val="48"/>
          <w:szCs w:val="48"/>
        </w:rPr>
        <w:t>目录</w:t>
      </w:r>
    </w:p>
    <w:p w14:paraId="053FE9A6">
      <w:pPr>
        <w:widowControl/>
        <w:jc w:val="center"/>
        <w:rPr>
          <w:rFonts w:eastAsia="黑体" w:cstheme="minorBidi"/>
          <w:sz w:val="28"/>
          <w:szCs w:val="28"/>
        </w:rPr>
      </w:pPr>
    </w:p>
    <w:p w14:paraId="21A0BE2C">
      <w:pPr>
        <w:pStyle w:val="13"/>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公开时间：2026年9</w:t>
      </w:r>
      <w:bookmarkStart w:id="63" w:name="_GoBack"/>
      <w:bookmarkEnd w:id="63"/>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14</w:t>
      </w:r>
      <w:r>
        <w:rPr>
          <w:rFonts w:hint="eastAsia" w:ascii="Times New Roman" w:hAnsi="Times New Roman" w:eastAsia="仿宋_GB2312" w:cs="仿宋_GB2312"/>
          <w:sz w:val="32"/>
          <w:szCs w:val="32"/>
        </w:rPr>
        <w:t>日</w:t>
      </w:r>
    </w:p>
    <w:p w14:paraId="017820D0"/>
    <w:p w14:paraId="11767E2D">
      <w:pPr>
        <w:pStyle w:val="13"/>
        <w:adjustRightInd w:val="0"/>
        <w:snapToGrid w:val="0"/>
        <w:spacing w:before="0" w:line="560" w:lineRule="exact"/>
        <w:jc w:val="left"/>
        <w:rPr>
          <w:rFonts w:ascii="Times New Roman" w:hAnsi="Times New Roman" w:cs="黑体"/>
          <w:sz w:val="32"/>
          <w:szCs w:val="32"/>
        </w:rPr>
      </w:pPr>
      <w:r>
        <w:rPr>
          <w:rFonts w:hint="eastAsia" w:ascii="Times New Roman" w:hAnsi="Times New Roman" w:eastAsia="黑体" w:cs="黑体"/>
          <w:sz w:val="32"/>
          <w:szCs w:val="32"/>
        </w:rPr>
        <w:t>第一部分 单位概况</w:t>
      </w:r>
      <w:r>
        <w:rPr>
          <w:sz w:val="24"/>
          <w:szCs w:val="24"/>
        </w:rPr>
        <w:tab/>
      </w:r>
      <w:r>
        <w:rPr>
          <w:rFonts w:hint="eastAsia"/>
          <w:sz w:val="24"/>
          <w:szCs w:val="24"/>
        </w:rPr>
        <w:t>1</w:t>
      </w:r>
    </w:p>
    <w:p w14:paraId="54FECE9F">
      <w:pPr>
        <w:pStyle w:val="14"/>
        <w:adjustRightInd w:val="0"/>
        <w:snapToGrid w:val="0"/>
        <w:spacing w:line="560" w:lineRule="exact"/>
        <w:ind w:left="0" w:leftChars="0" w:firstLine="640" w:firstLineChars="200"/>
        <w:jc w:val="left"/>
        <w:rPr>
          <w:rFonts w:cs="仿宋_GB2312"/>
          <w:sz w:val="32"/>
          <w:szCs w:val="32"/>
        </w:rPr>
      </w:pPr>
      <w:r>
        <w:rPr>
          <w:rFonts w:hint="eastAsia" w:eastAsia="仿宋_GB2312" w:cs="仿宋_GB2312"/>
          <w:sz w:val="32"/>
          <w:szCs w:val="32"/>
        </w:rPr>
        <w:t>一、单位职责</w:t>
      </w:r>
      <w:r>
        <w:rPr>
          <w:sz w:val="24"/>
        </w:rPr>
        <w:tab/>
      </w:r>
      <w:r>
        <w:rPr>
          <w:rFonts w:hint="eastAsia"/>
          <w:sz w:val="24"/>
        </w:rPr>
        <w:t>1</w:t>
      </w:r>
    </w:p>
    <w:p w14:paraId="5A68E95D">
      <w:pPr>
        <w:pStyle w:val="14"/>
        <w:adjustRightInd w:val="0"/>
        <w:snapToGrid w:val="0"/>
        <w:spacing w:line="560" w:lineRule="exact"/>
        <w:ind w:left="0" w:leftChars="0" w:firstLine="640" w:firstLineChars="200"/>
        <w:jc w:val="left"/>
        <w:rPr>
          <w:rFonts w:cs="仿宋_GB2312"/>
          <w:sz w:val="32"/>
          <w:szCs w:val="32"/>
        </w:rPr>
      </w:pPr>
      <w:r>
        <w:rPr>
          <w:rFonts w:hint="eastAsia" w:eastAsia="仿宋_GB2312" w:cs="仿宋_GB2312"/>
          <w:sz w:val="32"/>
          <w:szCs w:val="32"/>
        </w:rPr>
        <w:t>二、机构设置</w:t>
      </w:r>
      <w:r>
        <w:rPr>
          <w:sz w:val="24"/>
        </w:rPr>
        <w:tab/>
      </w:r>
      <w:r>
        <w:rPr>
          <w:rFonts w:hint="eastAsia"/>
          <w:sz w:val="24"/>
        </w:rPr>
        <w:t>1</w:t>
      </w:r>
    </w:p>
    <w:p w14:paraId="7B5E4743">
      <w:pPr>
        <w:pStyle w:val="13"/>
        <w:adjustRightInd w:val="0"/>
        <w:snapToGrid w:val="0"/>
        <w:spacing w:before="0" w:line="560" w:lineRule="exact"/>
        <w:jc w:val="left"/>
        <w:rPr>
          <w:rFonts w:ascii="Times New Roman" w:hAnsi="Times New Roman" w:cs="黑体"/>
          <w:sz w:val="32"/>
          <w:szCs w:val="32"/>
        </w:rPr>
      </w:pPr>
      <w:r>
        <w:rPr>
          <w:rFonts w:hint="eastAsia" w:ascii="Times New Roman" w:hAnsi="Times New Roman" w:eastAsia="黑体" w:cs="黑体"/>
          <w:sz w:val="32"/>
          <w:szCs w:val="32"/>
        </w:rPr>
        <w:t>第二部分 2025年度部门决算情况说明</w:t>
      </w:r>
      <w:r>
        <w:rPr>
          <w:sz w:val="24"/>
          <w:szCs w:val="24"/>
        </w:rPr>
        <w:tab/>
      </w:r>
      <w:r>
        <w:rPr>
          <w:rFonts w:hint="eastAsia"/>
          <w:sz w:val="24"/>
          <w:szCs w:val="24"/>
        </w:rPr>
        <w:t>2</w:t>
      </w:r>
    </w:p>
    <w:p w14:paraId="5F80C9B3">
      <w:pPr>
        <w:pStyle w:val="14"/>
        <w:adjustRightInd w:val="0"/>
        <w:snapToGrid w:val="0"/>
        <w:spacing w:line="560" w:lineRule="exact"/>
        <w:ind w:left="0" w:leftChars="0" w:firstLine="640" w:firstLineChars="200"/>
        <w:jc w:val="left"/>
        <w:rPr>
          <w:rFonts w:cs="仿宋_GB2312"/>
          <w:sz w:val="32"/>
          <w:szCs w:val="32"/>
        </w:rPr>
      </w:pPr>
      <w:r>
        <w:rPr>
          <w:rFonts w:hint="eastAsia" w:eastAsia="仿宋_GB2312" w:cs="仿宋_GB2312"/>
          <w:sz w:val="32"/>
          <w:szCs w:val="32"/>
        </w:rPr>
        <w:t>一、收入支出决算总体情况说明</w:t>
      </w:r>
      <w:r>
        <w:rPr>
          <w:sz w:val="24"/>
        </w:rPr>
        <w:tab/>
      </w:r>
      <w:r>
        <w:rPr>
          <w:rFonts w:hint="eastAsia"/>
          <w:sz w:val="24"/>
        </w:rPr>
        <w:t>2</w:t>
      </w:r>
    </w:p>
    <w:p w14:paraId="0D029420">
      <w:pPr>
        <w:pStyle w:val="14"/>
        <w:adjustRightInd w:val="0"/>
        <w:snapToGrid w:val="0"/>
        <w:spacing w:line="560" w:lineRule="exact"/>
        <w:ind w:left="0" w:leftChars="0" w:firstLine="640" w:firstLineChars="200"/>
        <w:jc w:val="left"/>
        <w:rPr>
          <w:rFonts w:cs="仿宋_GB2312"/>
          <w:sz w:val="32"/>
          <w:szCs w:val="32"/>
        </w:rPr>
      </w:pPr>
      <w:r>
        <w:rPr>
          <w:rFonts w:hint="eastAsia" w:eastAsia="仿宋_GB2312" w:cs="仿宋_GB2312"/>
          <w:sz w:val="32"/>
          <w:szCs w:val="32"/>
        </w:rPr>
        <w:t>二、收入决算情况说明</w:t>
      </w:r>
      <w:r>
        <w:rPr>
          <w:sz w:val="24"/>
        </w:rPr>
        <w:tab/>
      </w:r>
      <w:r>
        <w:rPr>
          <w:rFonts w:hint="eastAsia"/>
          <w:sz w:val="24"/>
        </w:rPr>
        <w:t>2</w:t>
      </w:r>
    </w:p>
    <w:p w14:paraId="28111846">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三、支出决算情况说明</w:t>
      </w:r>
      <w:r>
        <w:rPr>
          <w:sz w:val="24"/>
        </w:rPr>
        <w:tab/>
      </w:r>
      <w:r>
        <w:rPr>
          <w:rFonts w:hint="eastAsia"/>
          <w:sz w:val="24"/>
        </w:rPr>
        <w:t>3</w:t>
      </w:r>
    </w:p>
    <w:p w14:paraId="4CFFB24C">
      <w:pPr>
        <w:pStyle w:val="14"/>
        <w:adjustRightInd w:val="0"/>
        <w:snapToGrid w:val="0"/>
        <w:spacing w:line="560" w:lineRule="exact"/>
        <w:ind w:left="0" w:leftChars="0" w:firstLine="640" w:firstLineChars="200"/>
        <w:jc w:val="left"/>
        <w:rPr>
          <w:rFonts w:cs="仿宋_GB2312"/>
          <w:sz w:val="32"/>
          <w:szCs w:val="32"/>
        </w:rPr>
      </w:pPr>
      <w:r>
        <w:rPr>
          <w:rFonts w:hint="eastAsia" w:eastAsia="仿宋_GB2312" w:cs="仿宋_GB2312"/>
          <w:sz w:val="32"/>
          <w:szCs w:val="32"/>
        </w:rPr>
        <w:t>四、财政拨款收入支出决算总体情况说明</w:t>
      </w:r>
      <w:r>
        <w:rPr>
          <w:sz w:val="24"/>
        </w:rPr>
        <w:tab/>
      </w:r>
      <w:r>
        <w:rPr>
          <w:rFonts w:hint="eastAsia"/>
          <w:sz w:val="24"/>
        </w:rPr>
        <w:t>4</w:t>
      </w:r>
    </w:p>
    <w:p w14:paraId="441B90AD">
      <w:pPr>
        <w:pStyle w:val="14"/>
        <w:adjustRightInd w:val="0"/>
        <w:snapToGrid w:val="0"/>
        <w:spacing w:line="560" w:lineRule="exact"/>
        <w:ind w:left="0" w:leftChars="0" w:firstLine="640" w:firstLineChars="200"/>
        <w:jc w:val="left"/>
        <w:rPr>
          <w:rFonts w:cs="仿宋_GB2312"/>
          <w:sz w:val="32"/>
          <w:szCs w:val="32"/>
        </w:rPr>
      </w:pPr>
      <w:r>
        <w:rPr>
          <w:rFonts w:hint="eastAsia" w:eastAsia="仿宋_GB2312" w:cs="仿宋_GB2312"/>
          <w:sz w:val="32"/>
          <w:szCs w:val="32"/>
        </w:rPr>
        <w:t>五、一般公共预算财政拨款支出决算情况说明</w:t>
      </w:r>
      <w:r>
        <w:rPr>
          <w:sz w:val="24"/>
        </w:rPr>
        <w:tab/>
      </w:r>
      <w:r>
        <w:rPr>
          <w:rFonts w:hint="eastAsia"/>
          <w:sz w:val="24"/>
        </w:rPr>
        <w:t>4</w:t>
      </w:r>
    </w:p>
    <w:p w14:paraId="1851EC22">
      <w:pPr>
        <w:pStyle w:val="14"/>
        <w:adjustRightInd w:val="0"/>
        <w:snapToGrid w:val="0"/>
        <w:spacing w:line="560" w:lineRule="exact"/>
        <w:ind w:left="0" w:leftChars="0" w:firstLine="640" w:firstLineChars="200"/>
        <w:jc w:val="left"/>
        <w:rPr>
          <w:rFonts w:cs="仿宋_GB2312"/>
          <w:sz w:val="32"/>
          <w:szCs w:val="32"/>
        </w:rPr>
      </w:pPr>
      <w:r>
        <w:rPr>
          <w:rFonts w:hint="eastAsia" w:eastAsia="仿宋_GB2312" w:cs="仿宋_GB2312"/>
          <w:sz w:val="32"/>
          <w:szCs w:val="32"/>
        </w:rPr>
        <w:t>六、一般公共预算财政拨款基本支出决算情况说明</w:t>
      </w:r>
      <w:r>
        <w:rPr>
          <w:sz w:val="24"/>
        </w:rPr>
        <w:tab/>
      </w:r>
      <w:r>
        <w:rPr>
          <w:rFonts w:hint="eastAsia"/>
          <w:sz w:val="24"/>
        </w:rPr>
        <w:t>7</w:t>
      </w:r>
    </w:p>
    <w:p w14:paraId="5785D762">
      <w:pPr>
        <w:pStyle w:val="14"/>
        <w:adjustRightInd w:val="0"/>
        <w:snapToGrid w:val="0"/>
        <w:spacing w:line="560" w:lineRule="exact"/>
        <w:ind w:left="0" w:leftChars="0" w:firstLine="640" w:firstLineChars="200"/>
        <w:jc w:val="left"/>
        <w:rPr>
          <w:rFonts w:cs="仿宋_GB2312"/>
          <w:sz w:val="32"/>
          <w:szCs w:val="32"/>
        </w:rPr>
      </w:pPr>
      <w:r>
        <w:rPr>
          <w:rFonts w:hint="eastAsia" w:eastAsia="仿宋_GB2312" w:cs="仿宋_GB2312"/>
          <w:sz w:val="32"/>
          <w:szCs w:val="32"/>
        </w:rPr>
        <w:t>七、财政拨款“三公”经费支出决算情况说明</w:t>
      </w:r>
      <w:r>
        <w:rPr>
          <w:sz w:val="24"/>
        </w:rPr>
        <w:tab/>
      </w:r>
      <w:r>
        <w:rPr>
          <w:rFonts w:hint="eastAsia"/>
          <w:sz w:val="24"/>
        </w:rPr>
        <w:t>8</w:t>
      </w:r>
    </w:p>
    <w:p w14:paraId="3B9CB9FC">
      <w:pPr>
        <w:pStyle w:val="14"/>
        <w:adjustRightInd w:val="0"/>
        <w:snapToGrid w:val="0"/>
        <w:spacing w:line="560" w:lineRule="exact"/>
        <w:ind w:left="0" w:leftChars="0" w:firstLine="640" w:firstLineChars="200"/>
        <w:jc w:val="left"/>
        <w:rPr>
          <w:rFonts w:cs="仿宋_GB2312"/>
          <w:sz w:val="32"/>
          <w:szCs w:val="32"/>
        </w:rPr>
      </w:pPr>
      <w:r>
        <w:rPr>
          <w:rFonts w:hint="eastAsia" w:eastAsia="仿宋_GB2312" w:cs="仿宋_GB2312"/>
          <w:sz w:val="32"/>
          <w:szCs w:val="32"/>
        </w:rPr>
        <w:t>八、政府性基金预算支出决算情况说明</w:t>
      </w:r>
      <w:r>
        <w:rPr>
          <w:sz w:val="24"/>
        </w:rPr>
        <w:tab/>
      </w:r>
      <w:r>
        <w:rPr>
          <w:rFonts w:hint="eastAsia"/>
          <w:sz w:val="24"/>
        </w:rPr>
        <w:t>10</w:t>
      </w:r>
    </w:p>
    <w:p w14:paraId="38C4FA2D">
      <w:pPr>
        <w:pStyle w:val="14"/>
        <w:adjustRightInd w:val="0"/>
        <w:snapToGrid w:val="0"/>
        <w:spacing w:line="560" w:lineRule="exact"/>
        <w:ind w:left="0" w:leftChars="0" w:firstLine="640" w:firstLineChars="200"/>
        <w:jc w:val="left"/>
        <w:rPr>
          <w:rFonts w:cs="仿宋_GB2312"/>
          <w:sz w:val="32"/>
          <w:szCs w:val="32"/>
        </w:rPr>
      </w:pPr>
      <w:r>
        <w:rPr>
          <w:rFonts w:hint="eastAsia" w:eastAsia="仿宋_GB2312" w:cs="仿宋_GB2312"/>
          <w:sz w:val="32"/>
          <w:szCs w:val="32"/>
        </w:rPr>
        <w:t>九、国有资本经营预算支出决算情况说明</w:t>
      </w:r>
      <w:r>
        <w:rPr>
          <w:sz w:val="24"/>
        </w:rPr>
        <w:tab/>
      </w:r>
      <w:r>
        <w:rPr>
          <w:rFonts w:hint="eastAsia"/>
          <w:sz w:val="24"/>
        </w:rPr>
        <w:t>10</w:t>
      </w:r>
    </w:p>
    <w:p w14:paraId="5C133169">
      <w:pPr>
        <w:pStyle w:val="14"/>
        <w:adjustRightInd w:val="0"/>
        <w:snapToGrid w:val="0"/>
        <w:spacing w:line="560" w:lineRule="exact"/>
        <w:ind w:left="0" w:leftChars="0" w:firstLine="640" w:firstLineChars="200"/>
        <w:jc w:val="left"/>
        <w:rPr>
          <w:rFonts w:cs="仿宋_GB2312"/>
          <w:sz w:val="32"/>
          <w:szCs w:val="32"/>
        </w:rPr>
      </w:pPr>
      <w:r>
        <w:rPr>
          <w:rFonts w:hint="eastAsia" w:eastAsia="仿宋_GB2312" w:cs="仿宋_GB2312"/>
          <w:sz w:val="32"/>
          <w:szCs w:val="32"/>
        </w:rPr>
        <w:t>十、其他重要事项的情况说明</w:t>
      </w:r>
      <w:r>
        <w:rPr>
          <w:sz w:val="24"/>
        </w:rPr>
        <w:tab/>
      </w:r>
      <w:r>
        <w:rPr>
          <w:rFonts w:hint="eastAsia"/>
          <w:sz w:val="24"/>
        </w:rPr>
        <w:t>10</w:t>
      </w:r>
    </w:p>
    <w:p w14:paraId="2AD98323">
      <w:pPr>
        <w:pStyle w:val="13"/>
        <w:adjustRightInd w:val="0"/>
        <w:snapToGrid w:val="0"/>
        <w:spacing w:before="0" w:line="560" w:lineRule="exact"/>
        <w:jc w:val="left"/>
        <w:rPr>
          <w:rFonts w:ascii="Times New Roman" w:hAnsi="Times New Roman" w:cs="黑体"/>
          <w:sz w:val="32"/>
          <w:szCs w:val="32"/>
        </w:rPr>
      </w:pPr>
      <w:r>
        <w:rPr>
          <w:rFonts w:hint="eastAsia" w:ascii="Times New Roman" w:hAnsi="Times New Roman" w:eastAsia="黑体" w:cs="黑体"/>
          <w:sz w:val="32"/>
          <w:szCs w:val="32"/>
        </w:rPr>
        <w:t>第三部分 名词解释</w:t>
      </w:r>
      <w:r>
        <w:rPr>
          <w:sz w:val="24"/>
          <w:szCs w:val="24"/>
        </w:rPr>
        <w:tab/>
      </w:r>
      <w:r>
        <w:rPr>
          <w:rFonts w:hint="eastAsia"/>
          <w:sz w:val="24"/>
          <w:szCs w:val="24"/>
        </w:rPr>
        <w:t>12</w:t>
      </w:r>
    </w:p>
    <w:p w14:paraId="6B905C63">
      <w:pPr>
        <w:pStyle w:val="13"/>
        <w:adjustRightInd w:val="0"/>
        <w:snapToGrid w:val="0"/>
        <w:spacing w:before="0" w:line="560" w:lineRule="exact"/>
        <w:jc w:val="left"/>
        <w:rPr>
          <w:rFonts w:ascii="Times New Roman" w:hAnsi="Times New Roman" w:cs="黑体"/>
          <w:sz w:val="32"/>
          <w:szCs w:val="32"/>
        </w:rPr>
      </w:pPr>
      <w:r>
        <w:rPr>
          <w:rFonts w:hint="eastAsia" w:ascii="Times New Roman" w:hAnsi="Times New Roman" w:eastAsia="黑体" w:cs="黑体"/>
          <w:sz w:val="32"/>
          <w:szCs w:val="32"/>
        </w:rPr>
        <w:t>第四部分 附件</w:t>
      </w:r>
      <w:r>
        <w:rPr>
          <w:sz w:val="24"/>
          <w:szCs w:val="24"/>
        </w:rPr>
        <w:tab/>
      </w:r>
      <w:r>
        <w:rPr>
          <w:rFonts w:hint="eastAsia"/>
          <w:sz w:val="24"/>
          <w:szCs w:val="24"/>
        </w:rPr>
        <w:t>15</w:t>
      </w:r>
    </w:p>
    <w:p w14:paraId="3A1BC1AA">
      <w:pPr>
        <w:pStyle w:val="13"/>
        <w:adjustRightInd w:val="0"/>
        <w:snapToGrid w:val="0"/>
        <w:spacing w:before="0" w:line="560" w:lineRule="exact"/>
        <w:jc w:val="left"/>
        <w:rPr>
          <w:rFonts w:ascii="Times New Roman" w:hAnsi="Times New Roman" w:cs="黑体"/>
          <w:sz w:val="32"/>
          <w:szCs w:val="32"/>
        </w:rPr>
      </w:pPr>
      <w:r>
        <w:rPr>
          <w:rFonts w:hint="eastAsia" w:ascii="Times New Roman" w:hAnsi="Times New Roman" w:eastAsia="黑体" w:cs="黑体"/>
          <w:sz w:val="32"/>
          <w:szCs w:val="32"/>
        </w:rPr>
        <w:t>第五部分 附表</w:t>
      </w:r>
      <w:r>
        <w:rPr>
          <w:sz w:val="24"/>
          <w:szCs w:val="24"/>
        </w:rPr>
        <w:tab/>
      </w:r>
      <w:r>
        <w:rPr>
          <w:rFonts w:hint="eastAsia"/>
          <w:sz w:val="24"/>
          <w:szCs w:val="24"/>
        </w:rPr>
        <w:t>15</w:t>
      </w:r>
    </w:p>
    <w:p w14:paraId="1AB7C6BE">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一、收入支出决算总表</w:t>
      </w:r>
    </w:p>
    <w:p w14:paraId="3F231310">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二、收入决算表</w:t>
      </w:r>
    </w:p>
    <w:p w14:paraId="35533B44">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三、支出决算表</w:t>
      </w:r>
    </w:p>
    <w:p w14:paraId="6A91DA3A">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四、财政拨款收入支出决算总表</w:t>
      </w:r>
    </w:p>
    <w:p w14:paraId="5FE74B18">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五、财政拨款支出决算明细表</w:t>
      </w:r>
    </w:p>
    <w:p w14:paraId="7DA9DBA8">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六、一般公共预算财政拨款支出决算表</w:t>
      </w:r>
    </w:p>
    <w:p w14:paraId="4AAA8C0C">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七、一般公共预算财政拨款支出决算明细表</w:t>
      </w:r>
    </w:p>
    <w:p w14:paraId="4D696DD3">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八、一般公共预算财政拨款基本支出决算明细表</w:t>
      </w:r>
    </w:p>
    <w:p w14:paraId="0E87A264">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九、一般公共预算财政拨款项目支出决算表</w:t>
      </w:r>
    </w:p>
    <w:p w14:paraId="6A762B47">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十、政府性基金预算财政拨款收入支出决算表</w:t>
      </w:r>
    </w:p>
    <w:p w14:paraId="786506D0">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十一、国有资本经营预算财政拨款收入支出决算表</w:t>
      </w:r>
    </w:p>
    <w:p w14:paraId="787557D7">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十二、国有资本经营预算财政拨款支出决算表</w:t>
      </w:r>
    </w:p>
    <w:p w14:paraId="2B2D5D01">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十三、财政拨款“三公”经费支出决算表</w:t>
      </w:r>
    </w:p>
    <w:p w14:paraId="6DA10A39">
      <w:pPr>
        <w:pStyle w:val="5"/>
        <w:jc w:val="center"/>
        <w:rPr>
          <w:rFonts w:eastAsia="方正小标宋简体" w:cs="方正小标宋简体"/>
          <w:b w:val="0"/>
        </w:rPr>
        <w:sectPr>
          <w:footerReference r:id="rId8" w:type="first"/>
          <w:footerReference r:id="rId7" w:type="default"/>
          <w:pgSz w:w="11906" w:h="16838"/>
          <w:pgMar w:top="1440" w:right="1800" w:bottom="1440" w:left="1800" w:header="851" w:footer="992" w:gutter="0"/>
          <w:pgNumType w:fmt="numberInDash" w:start="1"/>
          <w:cols w:space="425" w:num="1"/>
          <w:docGrid w:type="lines" w:linePitch="312" w:charSpace="0"/>
        </w:sectPr>
      </w:pPr>
      <w:bookmarkStart w:id="6" w:name="_Toc15377196"/>
      <w:bookmarkStart w:id="7" w:name="_Toc15396599"/>
    </w:p>
    <w:p w14:paraId="2EC39964">
      <w:pPr>
        <w:pStyle w:val="5"/>
        <w:jc w:val="center"/>
        <w:rPr>
          <w:rStyle w:val="28"/>
          <w:rFonts w:eastAsia="方正小标宋简体" w:cs="方正小标宋简体"/>
          <w:b/>
          <w:bCs w:val="0"/>
        </w:rPr>
      </w:pPr>
      <w:r>
        <w:rPr>
          <w:rFonts w:hint="eastAsia" w:eastAsia="方正小标宋简体" w:cs="方正小标宋简体"/>
          <w:b w:val="0"/>
        </w:rPr>
        <w:t xml:space="preserve">第一部分  </w:t>
      </w:r>
      <w:r>
        <w:rPr>
          <w:rStyle w:val="28"/>
          <w:rFonts w:hint="eastAsia" w:eastAsia="方正小标宋简体" w:cs="方正小标宋简体"/>
          <w:b w:val="0"/>
          <w:bCs w:val="0"/>
        </w:rPr>
        <w:t>单位概况</w:t>
      </w:r>
      <w:bookmarkEnd w:id="6"/>
      <w:bookmarkEnd w:id="7"/>
    </w:p>
    <w:p w14:paraId="238EDFC6">
      <w:pPr>
        <w:widowControl/>
        <w:jc w:val="left"/>
        <w:rPr>
          <w:rFonts w:eastAsia="黑体"/>
          <w:sz w:val="32"/>
          <w:szCs w:val="32"/>
        </w:rPr>
      </w:pPr>
    </w:p>
    <w:p w14:paraId="302BB1EB">
      <w:pPr>
        <w:pStyle w:val="6"/>
        <w:numPr>
          <w:ilvl w:val="0"/>
          <w:numId w:val="1"/>
        </w:numPr>
        <w:rPr>
          <w:rFonts w:ascii="Times New Roman" w:hAnsi="Times New Roman" w:eastAsia="黑体"/>
          <w:b w:val="0"/>
        </w:rPr>
      </w:pPr>
      <w:r>
        <w:rPr>
          <w:rFonts w:hint="eastAsia" w:ascii="Times New Roman" w:hAnsi="Times New Roman" w:eastAsia="黑体"/>
          <w:b w:val="0"/>
        </w:rPr>
        <w:t>单位职责</w:t>
      </w:r>
    </w:p>
    <w:p w14:paraId="4927E139">
      <w:pPr>
        <w:ind w:firstLine="640" w:firstLineChars="200"/>
        <w:rPr>
          <w:rFonts w:ascii="仿宋_GB2312" w:eastAsia="仿宋_GB2312"/>
          <w:sz w:val="32"/>
          <w:szCs w:val="32"/>
        </w:rPr>
      </w:pPr>
      <w:r>
        <w:rPr>
          <w:rFonts w:hint="eastAsia" w:ascii="仿宋_GB2312" w:eastAsia="仿宋_GB2312"/>
          <w:sz w:val="32"/>
          <w:szCs w:val="32"/>
        </w:rPr>
        <w:t>四川攀枝花苏铁国家级自然保护区保护中心的主要职责为：保护区域内攀枝花苏铁等珍稀濒危动植物资源，维护生态平衡，自然保护科学研究，野生动植物珍稀物种栖息地环境监测与治理，自然保护宣传教育，攀枝花苏铁自然保护区生态旅游管理。</w:t>
      </w:r>
    </w:p>
    <w:p w14:paraId="21CB5FF5">
      <w:pPr>
        <w:pStyle w:val="6"/>
        <w:rPr>
          <w:rStyle w:val="29"/>
          <w:rFonts w:ascii="Times New Roman" w:hAnsi="Times New Roman"/>
          <w:b w:val="0"/>
          <w:bCs w:val="0"/>
        </w:rPr>
      </w:pPr>
      <w:bookmarkStart w:id="8" w:name="_Toc15396601"/>
      <w:bookmarkStart w:id="9" w:name="_Toc15377200"/>
      <w:r>
        <w:rPr>
          <w:rFonts w:hint="eastAsia" w:ascii="Times New Roman" w:hAnsi="Times New Roman" w:eastAsia="黑体"/>
          <w:b w:val="0"/>
        </w:rPr>
        <w:t>二、机</w:t>
      </w:r>
      <w:r>
        <w:rPr>
          <w:rStyle w:val="29"/>
          <w:rFonts w:hint="eastAsia" w:ascii="Times New Roman" w:hAnsi="Times New Roman" w:eastAsia="黑体"/>
          <w:b w:val="0"/>
          <w:bCs w:val="0"/>
        </w:rPr>
        <w:t>构设置</w:t>
      </w:r>
      <w:bookmarkEnd w:id="8"/>
      <w:bookmarkEnd w:id="9"/>
    </w:p>
    <w:p w14:paraId="506C0973">
      <w:pPr>
        <w:widowControl/>
        <w:ind w:firstLine="640" w:firstLineChars="200"/>
        <w:rPr>
          <w:rFonts w:eastAsia="仿宋"/>
          <w:kern w:val="0"/>
          <w:sz w:val="32"/>
          <w:szCs w:val="32"/>
        </w:rPr>
      </w:pPr>
      <w:r>
        <w:rPr>
          <w:rFonts w:hint="eastAsia" w:eastAsia="仿宋_GB2312" w:cs="仿宋_GB2312"/>
          <w:sz w:val="32"/>
          <w:szCs w:val="32"/>
        </w:rPr>
        <w:t>四川攀枝花苏铁国家级自然保护区保护中心为攀枝花市林业局下属的全额拨款公益一类事业单位，级别为副县级，编制21人，内设办公室、资源管理科、科研开发科、护林防火办公室、保护总站5个科室（站），保护总站下设猴子沟、湾沟箐、民政3个保护站。主要负责攀枝花苏铁等珍稀濒危动植物保护、自然保护科学研究、自然保护宣传教育、野生动植物栖息地环境监测与治理、攀枝花苏铁自然保护区生态旅游管理。</w:t>
      </w:r>
    </w:p>
    <w:p w14:paraId="5BE77434">
      <w:pPr>
        <w:pStyle w:val="5"/>
        <w:jc w:val="center"/>
        <w:rPr>
          <w:rFonts w:eastAsia="方正小标宋简体" w:cs="方正小标宋简体"/>
          <w:b w:val="0"/>
        </w:rPr>
      </w:pPr>
      <w:bookmarkStart w:id="10" w:name="_Toc15396602"/>
      <w:bookmarkStart w:id="11" w:name="_Toc15377204"/>
      <w:r>
        <w:rPr>
          <w:rFonts w:hint="eastAsia" w:eastAsia="方正小标宋简体" w:cs="方正小标宋简体"/>
          <w:b w:val="0"/>
        </w:rPr>
        <w:t>第二部分  2025年度部门决算情况说明</w:t>
      </w:r>
      <w:bookmarkEnd w:id="10"/>
      <w:bookmarkEnd w:id="11"/>
    </w:p>
    <w:p w14:paraId="36A586E4"/>
    <w:p w14:paraId="3B7421BC">
      <w:pPr>
        <w:pStyle w:val="27"/>
        <w:spacing w:line="600" w:lineRule="exact"/>
        <w:ind w:firstLine="640"/>
        <w:outlineLvl w:val="1"/>
        <w:rPr>
          <w:rStyle w:val="29"/>
          <w:rFonts w:ascii="Times New Roman" w:hAnsi="Times New Roman" w:eastAsia="黑体"/>
          <w:b w:val="0"/>
        </w:rPr>
      </w:pPr>
      <w:bookmarkStart w:id="12" w:name="_Toc15396603"/>
      <w:bookmarkStart w:id="13" w:name="_Toc15377205"/>
      <w:r>
        <w:rPr>
          <w:rFonts w:hint="eastAsia" w:eastAsia="黑体"/>
          <w:sz w:val="32"/>
          <w:szCs w:val="32"/>
        </w:rPr>
        <w:t>一、收</w:t>
      </w:r>
      <w:r>
        <w:rPr>
          <w:rStyle w:val="29"/>
          <w:rFonts w:hint="eastAsia" w:ascii="Times New Roman" w:hAnsi="Times New Roman" w:eastAsia="黑体"/>
          <w:b w:val="0"/>
        </w:rPr>
        <w:t>入支出决算总体情况说明</w:t>
      </w:r>
      <w:bookmarkEnd w:id="12"/>
      <w:bookmarkEnd w:id="13"/>
    </w:p>
    <w:p w14:paraId="74BA7328">
      <w:pPr>
        <w:pStyle w:val="27"/>
        <w:spacing w:line="600" w:lineRule="exact"/>
        <w:ind w:firstLine="640"/>
        <w:outlineLvl w:val="1"/>
        <w:rPr>
          <w:rFonts w:eastAsia="仿宋_GB2312" w:cs="仿宋_GB2312"/>
          <w:sz w:val="32"/>
          <w:szCs w:val="32"/>
        </w:rPr>
      </w:pPr>
      <w:r>
        <w:rPr>
          <w:rFonts w:hint="eastAsia" w:eastAsia="仿宋_GB2312" w:cs="仿宋_GB2312"/>
          <w:sz w:val="32"/>
          <w:szCs w:val="32"/>
        </w:rPr>
        <w:t>2025年度收入、支出总计均为1188.48万元。与上年度相比，收入、支出总计各减少287.95万元，下降19.5%。主要变动原因是苏保区矿山迹地植被恢复生态治理二期建设项目资金收、支减少。</w:t>
      </w:r>
    </w:p>
    <w:p w14:paraId="7501167E">
      <w:pPr>
        <w:pStyle w:val="27"/>
        <w:spacing w:line="600" w:lineRule="exact"/>
        <w:ind w:firstLine="640"/>
        <w:outlineLvl w:val="1"/>
        <w:rPr>
          <w:rFonts w:eastAsia="仿宋_GB2312" w:cs="仿宋_GB2312"/>
          <w:sz w:val="32"/>
          <w:szCs w:val="32"/>
        </w:rPr>
      </w:pPr>
      <w:r>
        <w:rPr>
          <w:rFonts w:hint="eastAsia" w:eastAsia="仿宋_GB2312" w:cs="仿宋_GB2312"/>
          <w:sz w:val="32"/>
          <w:szCs w:val="32"/>
        </w:rPr>
        <w:drawing>
          <wp:anchor distT="0" distB="0" distL="114300" distR="114300" simplePos="0" relativeHeight="251659264" behindDoc="0" locked="0" layoutInCell="1" allowOverlap="1">
            <wp:simplePos x="0" y="0"/>
            <wp:positionH relativeFrom="column">
              <wp:posOffset>47625</wp:posOffset>
            </wp:positionH>
            <wp:positionV relativeFrom="paragraph">
              <wp:posOffset>264795</wp:posOffset>
            </wp:positionV>
            <wp:extent cx="5273675" cy="3077845"/>
            <wp:effectExtent l="0" t="0" r="22225" b="27305"/>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1C32CECF">
      <w:pPr>
        <w:pStyle w:val="27"/>
        <w:spacing w:line="600" w:lineRule="exact"/>
        <w:ind w:firstLine="640"/>
        <w:outlineLvl w:val="1"/>
        <w:rPr>
          <w:rFonts w:eastAsia="仿宋_GB2312" w:cs="仿宋_GB2312"/>
          <w:sz w:val="32"/>
          <w:szCs w:val="32"/>
        </w:rPr>
      </w:pPr>
    </w:p>
    <w:p w14:paraId="699294B7">
      <w:pPr>
        <w:pStyle w:val="27"/>
        <w:spacing w:line="600" w:lineRule="exact"/>
        <w:ind w:firstLine="640"/>
        <w:outlineLvl w:val="1"/>
        <w:rPr>
          <w:rFonts w:eastAsia="仿宋_GB2312" w:cs="仿宋_GB2312"/>
          <w:sz w:val="32"/>
          <w:szCs w:val="32"/>
        </w:rPr>
      </w:pPr>
    </w:p>
    <w:p w14:paraId="5ABCC2CA">
      <w:pPr>
        <w:pStyle w:val="27"/>
        <w:spacing w:line="600" w:lineRule="exact"/>
        <w:ind w:firstLine="640"/>
        <w:outlineLvl w:val="1"/>
        <w:rPr>
          <w:rFonts w:eastAsia="仿宋_GB2312" w:cs="仿宋_GB2312"/>
          <w:sz w:val="32"/>
          <w:szCs w:val="32"/>
        </w:rPr>
      </w:pPr>
    </w:p>
    <w:p w14:paraId="7DBE8E82">
      <w:pPr>
        <w:pStyle w:val="27"/>
        <w:spacing w:line="600" w:lineRule="exact"/>
        <w:ind w:firstLine="640"/>
        <w:outlineLvl w:val="1"/>
        <w:rPr>
          <w:rFonts w:eastAsia="仿宋_GB2312" w:cs="仿宋_GB2312"/>
          <w:sz w:val="32"/>
          <w:szCs w:val="32"/>
        </w:rPr>
      </w:pPr>
    </w:p>
    <w:p w14:paraId="104B952B">
      <w:pPr>
        <w:pStyle w:val="27"/>
        <w:spacing w:line="600" w:lineRule="exact"/>
        <w:ind w:firstLine="640"/>
        <w:outlineLvl w:val="1"/>
        <w:rPr>
          <w:rFonts w:eastAsia="仿宋_GB2312" w:cs="仿宋_GB2312"/>
          <w:sz w:val="32"/>
          <w:szCs w:val="32"/>
        </w:rPr>
      </w:pPr>
    </w:p>
    <w:p w14:paraId="47875D39">
      <w:pPr>
        <w:pStyle w:val="27"/>
        <w:spacing w:line="600" w:lineRule="exact"/>
        <w:ind w:firstLine="640"/>
        <w:outlineLvl w:val="1"/>
        <w:rPr>
          <w:rFonts w:eastAsia="仿宋_GB2312" w:cs="仿宋_GB2312"/>
          <w:sz w:val="32"/>
          <w:szCs w:val="32"/>
        </w:rPr>
      </w:pPr>
    </w:p>
    <w:p w14:paraId="516E037E">
      <w:pPr>
        <w:pStyle w:val="27"/>
        <w:spacing w:line="600" w:lineRule="exact"/>
        <w:ind w:firstLine="640"/>
        <w:outlineLvl w:val="1"/>
        <w:rPr>
          <w:rFonts w:eastAsia="仿宋_GB2312" w:cs="仿宋_GB2312"/>
          <w:sz w:val="32"/>
          <w:szCs w:val="32"/>
        </w:rPr>
      </w:pPr>
    </w:p>
    <w:p w14:paraId="6A7E7B22">
      <w:pPr>
        <w:pStyle w:val="27"/>
        <w:spacing w:line="600" w:lineRule="exact"/>
        <w:ind w:firstLine="640"/>
        <w:outlineLvl w:val="1"/>
        <w:rPr>
          <w:rFonts w:eastAsia="仿宋_GB2312" w:cs="仿宋_GB2312"/>
          <w:sz w:val="32"/>
          <w:szCs w:val="32"/>
        </w:rPr>
      </w:pPr>
    </w:p>
    <w:p w14:paraId="00BAF074">
      <w:pPr>
        <w:spacing w:line="600" w:lineRule="exact"/>
        <w:jc w:val="center"/>
        <w:outlineLvl w:val="1"/>
        <w:rPr>
          <w:rFonts w:eastAsia="仿宋_GB2312" w:cs="仿宋_GB2312"/>
          <w:sz w:val="32"/>
          <w:szCs w:val="32"/>
        </w:rPr>
      </w:pPr>
      <w:r>
        <w:rPr>
          <w:rFonts w:hint="eastAsia" w:eastAsia="仿宋_GB2312" w:cs="仿宋_GB2312"/>
          <w:sz w:val="32"/>
          <w:szCs w:val="32"/>
        </w:rPr>
        <w:t>图1：收入、支出决算总计变动情况图</w:t>
      </w:r>
    </w:p>
    <w:p w14:paraId="4A57E74D">
      <w:pPr>
        <w:rPr>
          <w:rFonts w:eastAsia="仿宋_GB2312" w:cs="仿宋_GB2312"/>
          <w:sz w:val="32"/>
          <w:szCs w:val="32"/>
        </w:rPr>
      </w:pPr>
    </w:p>
    <w:p w14:paraId="2293BC94">
      <w:pPr>
        <w:pStyle w:val="27"/>
        <w:spacing w:line="600" w:lineRule="exact"/>
        <w:ind w:firstLine="640"/>
        <w:outlineLvl w:val="1"/>
        <w:rPr>
          <w:rFonts w:eastAsia="黑体"/>
          <w:sz w:val="32"/>
          <w:szCs w:val="32"/>
        </w:rPr>
      </w:pPr>
      <w:bookmarkStart w:id="14" w:name="_Toc15377206"/>
      <w:bookmarkStart w:id="15" w:name="_Toc15396604"/>
      <w:r>
        <w:rPr>
          <w:rFonts w:hint="eastAsia" w:eastAsia="黑体"/>
          <w:sz w:val="32"/>
          <w:szCs w:val="32"/>
        </w:rPr>
        <w:t>二、收入决算情况说明</w:t>
      </w:r>
      <w:bookmarkEnd w:id="14"/>
      <w:bookmarkEnd w:id="15"/>
    </w:p>
    <w:p w14:paraId="26C5CB49">
      <w:pPr>
        <w:pStyle w:val="27"/>
        <w:spacing w:line="600" w:lineRule="exact"/>
        <w:ind w:firstLine="640"/>
        <w:outlineLvl w:val="1"/>
        <w:rPr>
          <w:rFonts w:eastAsia="仿宋_GB2312" w:cs="仿宋_GB2312"/>
          <w:sz w:val="32"/>
          <w:szCs w:val="32"/>
        </w:rPr>
      </w:pPr>
      <w:r>
        <w:rPr>
          <w:rFonts w:hint="eastAsia" w:eastAsia="仿宋_GB2312" w:cs="仿宋_GB2312"/>
          <w:sz w:val="32"/>
          <w:szCs w:val="32"/>
        </w:rPr>
        <w:t>2025年度本年收入合计1188.48万元，其中：一般公共预算财政拨款收入1137万元，占95.7%；政府性基金预算财政拨款收入51.48万元，占4.3%。</w:t>
      </w:r>
    </w:p>
    <w:p w14:paraId="7211D965">
      <w:pPr>
        <w:spacing w:line="600" w:lineRule="exact"/>
        <w:outlineLvl w:val="1"/>
        <w:rPr>
          <w:rFonts w:eastAsia="仿宋_GB2312" w:cs="仿宋_GB2312"/>
          <w:sz w:val="32"/>
          <w:szCs w:val="32"/>
        </w:rPr>
      </w:pPr>
      <w:r>
        <w:drawing>
          <wp:anchor distT="0" distB="0" distL="114300" distR="114300" simplePos="0" relativeHeight="251660288" behindDoc="0" locked="0" layoutInCell="1" allowOverlap="1">
            <wp:simplePos x="0" y="0"/>
            <wp:positionH relativeFrom="column">
              <wp:posOffset>38100</wp:posOffset>
            </wp:positionH>
            <wp:positionV relativeFrom="paragraph">
              <wp:posOffset>344805</wp:posOffset>
            </wp:positionV>
            <wp:extent cx="5273675" cy="3077845"/>
            <wp:effectExtent l="0" t="0" r="22225" b="27305"/>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59D84806">
      <w:pPr>
        <w:pStyle w:val="27"/>
        <w:spacing w:line="600" w:lineRule="exact"/>
        <w:ind w:firstLine="643"/>
        <w:outlineLvl w:val="1"/>
        <w:rPr>
          <w:rFonts w:eastAsia="仿宋_GB2312" w:cs="仿宋_GB2312"/>
          <w:b/>
          <w:bCs/>
          <w:sz w:val="32"/>
          <w:szCs w:val="32"/>
        </w:rPr>
      </w:pPr>
      <w:r>
        <w:rPr>
          <w:rFonts w:eastAsia="仿宋_GB2312" w:cs="仿宋_GB2312"/>
          <w:b/>
          <w:bCs/>
          <w:sz w:val="32"/>
          <w:szCs w:val="32"/>
        </w:rPr>
        <w:t xml:space="preserve"> </w:t>
      </w:r>
    </w:p>
    <w:p w14:paraId="500CD9DD">
      <w:pPr>
        <w:pStyle w:val="27"/>
        <w:spacing w:line="600" w:lineRule="exact"/>
        <w:ind w:firstLine="643"/>
        <w:outlineLvl w:val="1"/>
        <w:rPr>
          <w:rFonts w:eastAsia="仿宋_GB2312" w:cs="仿宋_GB2312"/>
          <w:b/>
          <w:bCs/>
          <w:sz w:val="32"/>
          <w:szCs w:val="32"/>
        </w:rPr>
      </w:pPr>
    </w:p>
    <w:p w14:paraId="4957CE6A">
      <w:pPr>
        <w:pStyle w:val="27"/>
        <w:spacing w:line="600" w:lineRule="exact"/>
        <w:ind w:firstLine="643"/>
        <w:outlineLvl w:val="1"/>
        <w:rPr>
          <w:rFonts w:eastAsia="仿宋_GB2312" w:cs="仿宋_GB2312"/>
          <w:b/>
          <w:bCs/>
          <w:sz w:val="32"/>
          <w:szCs w:val="32"/>
        </w:rPr>
      </w:pPr>
    </w:p>
    <w:p w14:paraId="5A8A522A">
      <w:pPr>
        <w:pStyle w:val="27"/>
        <w:spacing w:line="600" w:lineRule="exact"/>
        <w:ind w:firstLine="643"/>
        <w:outlineLvl w:val="1"/>
        <w:rPr>
          <w:rFonts w:eastAsia="仿宋_GB2312" w:cs="仿宋_GB2312"/>
          <w:b/>
          <w:bCs/>
          <w:sz w:val="32"/>
          <w:szCs w:val="32"/>
        </w:rPr>
      </w:pPr>
    </w:p>
    <w:p w14:paraId="68620210">
      <w:pPr>
        <w:pStyle w:val="27"/>
        <w:spacing w:line="600" w:lineRule="exact"/>
        <w:ind w:firstLine="643"/>
        <w:outlineLvl w:val="1"/>
        <w:rPr>
          <w:rFonts w:eastAsia="仿宋_GB2312" w:cs="仿宋_GB2312"/>
          <w:b/>
          <w:bCs/>
          <w:sz w:val="32"/>
          <w:szCs w:val="32"/>
        </w:rPr>
      </w:pPr>
    </w:p>
    <w:p w14:paraId="5B8C89EA">
      <w:pPr>
        <w:pStyle w:val="27"/>
        <w:spacing w:line="600" w:lineRule="exact"/>
        <w:ind w:firstLine="643"/>
        <w:outlineLvl w:val="1"/>
        <w:rPr>
          <w:rFonts w:eastAsia="仿宋_GB2312" w:cs="仿宋_GB2312"/>
          <w:b/>
          <w:bCs/>
          <w:sz w:val="32"/>
          <w:szCs w:val="32"/>
        </w:rPr>
      </w:pPr>
    </w:p>
    <w:p w14:paraId="105B51DB">
      <w:pPr>
        <w:pStyle w:val="27"/>
        <w:spacing w:line="600" w:lineRule="exact"/>
        <w:ind w:firstLine="643"/>
        <w:outlineLvl w:val="1"/>
        <w:rPr>
          <w:rFonts w:eastAsia="仿宋_GB2312" w:cs="仿宋_GB2312"/>
          <w:b/>
          <w:bCs/>
          <w:sz w:val="32"/>
          <w:szCs w:val="32"/>
        </w:rPr>
      </w:pPr>
    </w:p>
    <w:p w14:paraId="682A5BC4">
      <w:pPr>
        <w:pStyle w:val="27"/>
        <w:spacing w:line="600" w:lineRule="exact"/>
        <w:ind w:firstLine="640"/>
        <w:outlineLvl w:val="1"/>
        <w:rPr>
          <w:rFonts w:eastAsia="仿宋_GB2312" w:cs="仿宋_GB2312"/>
          <w:sz w:val="32"/>
          <w:szCs w:val="32"/>
        </w:rPr>
      </w:pPr>
    </w:p>
    <w:p w14:paraId="296DE92B">
      <w:pPr>
        <w:spacing w:line="600" w:lineRule="exact"/>
        <w:jc w:val="center"/>
        <w:outlineLvl w:val="1"/>
        <w:rPr>
          <w:rFonts w:eastAsia="仿宋_GB2312" w:cs="仿宋_GB2312"/>
          <w:sz w:val="32"/>
          <w:szCs w:val="32"/>
        </w:rPr>
      </w:pPr>
      <w:r>
        <w:rPr>
          <w:rFonts w:hint="eastAsia" w:eastAsia="仿宋_GB2312" w:cs="仿宋_GB2312"/>
          <w:sz w:val="32"/>
          <w:szCs w:val="32"/>
        </w:rPr>
        <w:t>图2：收入决算结构图</w:t>
      </w:r>
    </w:p>
    <w:p w14:paraId="62DA7948">
      <w:pPr>
        <w:pStyle w:val="27"/>
        <w:spacing w:line="600" w:lineRule="exact"/>
        <w:ind w:firstLine="640"/>
        <w:outlineLvl w:val="1"/>
        <w:rPr>
          <w:rStyle w:val="29"/>
          <w:rFonts w:ascii="Times New Roman" w:hAnsi="Times New Roman" w:eastAsia="黑体"/>
          <w:b w:val="0"/>
        </w:rPr>
      </w:pPr>
      <w:bookmarkStart w:id="16" w:name="_Toc15377207"/>
      <w:bookmarkStart w:id="17" w:name="_Toc15396605"/>
      <w:r>
        <w:rPr>
          <w:rFonts w:hint="eastAsia" w:eastAsia="黑体"/>
          <w:sz w:val="32"/>
          <w:szCs w:val="32"/>
        </w:rPr>
        <w:t>三、支</w:t>
      </w:r>
      <w:r>
        <w:rPr>
          <w:rStyle w:val="29"/>
          <w:rFonts w:hint="eastAsia" w:ascii="Times New Roman" w:hAnsi="Times New Roman" w:eastAsia="黑体"/>
          <w:b w:val="0"/>
        </w:rPr>
        <w:t>出决算情况说明</w:t>
      </w:r>
      <w:bookmarkEnd w:id="16"/>
      <w:bookmarkEnd w:id="17"/>
    </w:p>
    <w:p w14:paraId="2C533EB7">
      <w:pPr>
        <w:pStyle w:val="27"/>
        <w:spacing w:line="600" w:lineRule="exact"/>
        <w:ind w:firstLine="640"/>
        <w:outlineLvl w:val="1"/>
        <w:rPr>
          <w:rFonts w:eastAsia="仿宋_GB2312" w:cs="仿宋_GB2312"/>
          <w:sz w:val="32"/>
          <w:szCs w:val="32"/>
        </w:rPr>
      </w:pPr>
      <w:r>
        <w:rPr>
          <w:rFonts w:hint="eastAsia" w:eastAsia="仿宋_GB2312" w:cs="仿宋_GB2312"/>
          <w:sz w:val="32"/>
          <w:szCs w:val="32"/>
        </w:rPr>
        <w:t>2025年度本年支出合计1188.48万元，其中：基本支出406.57万元，占34.2%；项目支出781.91万元，占65.8%。</w:t>
      </w:r>
    </w:p>
    <w:p w14:paraId="5AB5B9BC">
      <w:pPr>
        <w:pStyle w:val="27"/>
        <w:spacing w:line="600" w:lineRule="exact"/>
        <w:ind w:firstLine="640"/>
        <w:outlineLvl w:val="1"/>
        <w:rPr>
          <w:rFonts w:eastAsia="仿宋_GB2312" w:cs="仿宋_GB2312"/>
          <w:sz w:val="32"/>
          <w:szCs w:val="32"/>
        </w:rPr>
      </w:pPr>
      <w:r>
        <w:rPr>
          <w:rFonts w:hint="eastAsia" w:eastAsia="仿宋_GB2312" w:cs="仿宋_GB2312"/>
          <w:sz w:val="32"/>
          <w:szCs w:val="32"/>
        </w:rPr>
        <w:drawing>
          <wp:anchor distT="0" distB="0" distL="114300" distR="114300" simplePos="0" relativeHeight="251661312" behindDoc="0" locked="0" layoutInCell="1" allowOverlap="1">
            <wp:simplePos x="0" y="0"/>
            <wp:positionH relativeFrom="column">
              <wp:posOffset>38100</wp:posOffset>
            </wp:positionH>
            <wp:positionV relativeFrom="paragraph">
              <wp:posOffset>205740</wp:posOffset>
            </wp:positionV>
            <wp:extent cx="5274310" cy="3077845"/>
            <wp:effectExtent l="0" t="0" r="22225" b="27305"/>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7BAC8855">
      <w:pPr>
        <w:pStyle w:val="27"/>
        <w:spacing w:line="600" w:lineRule="exact"/>
        <w:ind w:firstLine="640"/>
        <w:outlineLvl w:val="1"/>
        <w:rPr>
          <w:rFonts w:eastAsia="仿宋_GB2312" w:cs="仿宋_GB2312"/>
          <w:sz w:val="32"/>
          <w:szCs w:val="32"/>
        </w:rPr>
      </w:pPr>
    </w:p>
    <w:p w14:paraId="4E4385ED">
      <w:pPr>
        <w:pStyle w:val="27"/>
        <w:spacing w:line="600" w:lineRule="exact"/>
        <w:ind w:firstLine="640"/>
        <w:outlineLvl w:val="1"/>
        <w:rPr>
          <w:rFonts w:eastAsia="仿宋_GB2312" w:cs="仿宋_GB2312"/>
          <w:sz w:val="32"/>
          <w:szCs w:val="32"/>
        </w:rPr>
      </w:pPr>
    </w:p>
    <w:p w14:paraId="28B01EF6">
      <w:pPr>
        <w:pStyle w:val="27"/>
        <w:spacing w:line="600" w:lineRule="exact"/>
        <w:ind w:firstLine="640"/>
        <w:outlineLvl w:val="1"/>
        <w:rPr>
          <w:rFonts w:eastAsia="仿宋_GB2312" w:cs="仿宋_GB2312"/>
          <w:sz w:val="32"/>
          <w:szCs w:val="32"/>
        </w:rPr>
      </w:pPr>
    </w:p>
    <w:p w14:paraId="26D215A1">
      <w:pPr>
        <w:pStyle w:val="27"/>
        <w:spacing w:line="600" w:lineRule="exact"/>
        <w:ind w:firstLine="640"/>
        <w:outlineLvl w:val="1"/>
        <w:rPr>
          <w:rFonts w:eastAsia="仿宋_GB2312" w:cs="仿宋_GB2312"/>
          <w:sz w:val="32"/>
          <w:szCs w:val="32"/>
        </w:rPr>
      </w:pPr>
    </w:p>
    <w:p w14:paraId="37C3BC0A">
      <w:pPr>
        <w:pStyle w:val="27"/>
        <w:spacing w:line="600" w:lineRule="exact"/>
        <w:ind w:firstLine="640"/>
        <w:outlineLvl w:val="1"/>
        <w:rPr>
          <w:rFonts w:eastAsia="仿宋_GB2312" w:cs="仿宋_GB2312"/>
          <w:sz w:val="32"/>
          <w:szCs w:val="32"/>
        </w:rPr>
      </w:pPr>
    </w:p>
    <w:p w14:paraId="217EB156">
      <w:pPr>
        <w:pStyle w:val="27"/>
        <w:spacing w:line="600" w:lineRule="exact"/>
        <w:ind w:firstLine="640"/>
        <w:outlineLvl w:val="1"/>
        <w:rPr>
          <w:rFonts w:eastAsia="仿宋_GB2312" w:cs="仿宋_GB2312"/>
          <w:sz w:val="32"/>
          <w:szCs w:val="32"/>
        </w:rPr>
      </w:pPr>
    </w:p>
    <w:p w14:paraId="43A52342">
      <w:pPr>
        <w:pStyle w:val="27"/>
        <w:spacing w:line="600" w:lineRule="exact"/>
        <w:ind w:firstLine="643"/>
        <w:outlineLvl w:val="1"/>
        <w:rPr>
          <w:rFonts w:eastAsia="仿宋_GB2312" w:cs="仿宋_GB2312"/>
          <w:b/>
          <w:bCs/>
          <w:sz w:val="32"/>
          <w:szCs w:val="32"/>
        </w:rPr>
      </w:pPr>
    </w:p>
    <w:p w14:paraId="2CD81664">
      <w:pPr>
        <w:pStyle w:val="27"/>
        <w:spacing w:line="600" w:lineRule="exact"/>
        <w:ind w:firstLine="640"/>
        <w:outlineLvl w:val="1"/>
        <w:rPr>
          <w:rFonts w:eastAsia="仿宋_GB2312" w:cs="仿宋_GB2312"/>
          <w:sz w:val="32"/>
          <w:szCs w:val="32"/>
        </w:rPr>
      </w:pPr>
    </w:p>
    <w:p w14:paraId="68AA1B66">
      <w:pPr>
        <w:spacing w:line="600" w:lineRule="exact"/>
        <w:jc w:val="center"/>
        <w:outlineLvl w:val="1"/>
        <w:rPr>
          <w:rFonts w:eastAsia="仿宋_GB2312" w:cs="仿宋_GB2312"/>
          <w:sz w:val="32"/>
          <w:szCs w:val="32"/>
        </w:rPr>
      </w:pPr>
      <w:r>
        <w:rPr>
          <w:rFonts w:hint="eastAsia" w:eastAsia="仿宋_GB2312" w:cs="仿宋_GB2312"/>
          <w:sz w:val="32"/>
          <w:szCs w:val="32"/>
        </w:rPr>
        <w:t>图3：支出决算结构图</w:t>
      </w:r>
    </w:p>
    <w:p w14:paraId="31168573">
      <w:pPr>
        <w:spacing w:line="600" w:lineRule="exact"/>
        <w:ind w:firstLine="640" w:firstLineChars="200"/>
        <w:outlineLvl w:val="1"/>
        <w:rPr>
          <w:rStyle w:val="29"/>
          <w:rFonts w:ascii="Times New Roman" w:hAnsi="Times New Roman" w:eastAsia="黑体"/>
          <w:b w:val="0"/>
        </w:rPr>
      </w:pPr>
      <w:bookmarkStart w:id="18" w:name="_Toc15396606"/>
      <w:bookmarkStart w:id="19" w:name="_Toc15377208"/>
      <w:r>
        <w:rPr>
          <w:rFonts w:hint="eastAsia" w:eastAsia="黑体"/>
          <w:sz w:val="32"/>
          <w:szCs w:val="32"/>
        </w:rPr>
        <w:t>四、财</w:t>
      </w:r>
      <w:r>
        <w:rPr>
          <w:rStyle w:val="29"/>
          <w:rFonts w:hint="eastAsia" w:ascii="Times New Roman" w:hAnsi="Times New Roman" w:eastAsia="黑体"/>
          <w:b w:val="0"/>
        </w:rPr>
        <w:t>政拨款收入支出决算总体情况说明</w:t>
      </w:r>
      <w:bookmarkEnd w:id="18"/>
      <w:bookmarkEnd w:id="19"/>
    </w:p>
    <w:p w14:paraId="6C7B3BC7">
      <w:pPr>
        <w:spacing w:line="600" w:lineRule="exact"/>
        <w:ind w:firstLine="640"/>
        <w:rPr>
          <w:rFonts w:eastAsia="仿宋_GB2312" w:cs="仿宋_GB2312"/>
          <w:sz w:val="32"/>
          <w:szCs w:val="32"/>
        </w:rPr>
      </w:pPr>
      <w:r>
        <w:rPr>
          <w:rFonts w:hint="eastAsia" w:eastAsia="仿宋_GB2312" w:cs="仿宋_GB2312"/>
          <w:sz w:val="32"/>
          <w:szCs w:val="32"/>
        </w:rPr>
        <w:t>2025年度财政拨款收入、支出总计均为1188.48万元。与上年度相比，财政拨款收入、支出总计各减少287.95万元，下降19.5%。主要变动原因是苏保区矿山迹地植被恢复生态治理二期建设项目资金收、支减少。</w:t>
      </w:r>
    </w:p>
    <w:p w14:paraId="05C6A6B3">
      <w:pPr>
        <w:pStyle w:val="2"/>
      </w:pPr>
    </w:p>
    <w:p w14:paraId="129339A2">
      <w:pPr>
        <w:pStyle w:val="3"/>
        <w:ind w:left="420"/>
      </w:pPr>
      <w:r>
        <w:rPr>
          <w:rFonts w:hint="eastAsia"/>
        </w:rPr>
        <w:drawing>
          <wp:anchor distT="0" distB="0" distL="114300" distR="114300" simplePos="0" relativeHeight="251662336" behindDoc="0" locked="0" layoutInCell="1" allowOverlap="1">
            <wp:simplePos x="0" y="0"/>
            <wp:positionH relativeFrom="column">
              <wp:posOffset>28575</wp:posOffset>
            </wp:positionH>
            <wp:positionV relativeFrom="paragraph">
              <wp:posOffset>7620</wp:posOffset>
            </wp:positionV>
            <wp:extent cx="5273675" cy="3077845"/>
            <wp:effectExtent l="0" t="0" r="22225" b="27305"/>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52530A6A"/>
    <w:p w14:paraId="4EC52154">
      <w:pPr>
        <w:pStyle w:val="2"/>
      </w:pPr>
    </w:p>
    <w:p w14:paraId="5A4DB782">
      <w:pPr>
        <w:pStyle w:val="2"/>
      </w:pPr>
    </w:p>
    <w:p w14:paraId="30E8BF99">
      <w:pPr>
        <w:pStyle w:val="3"/>
        <w:ind w:left="420"/>
      </w:pPr>
    </w:p>
    <w:p w14:paraId="54B2D89B"/>
    <w:p w14:paraId="21E6BC27">
      <w:pPr>
        <w:pStyle w:val="2"/>
      </w:pPr>
    </w:p>
    <w:p w14:paraId="6E566BAE">
      <w:pPr>
        <w:pStyle w:val="2"/>
      </w:pPr>
    </w:p>
    <w:p w14:paraId="730B14D6">
      <w:pPr>
        <w:pStyle w:val="3"/>
        <w:ind w:left="420"/>
      </w:pPr>
    </w:p>
    <w:p w14:paraId="1DFA1F32"/>
    <w:p w14:paraId="1471BD42">
      <w:pPr>
        <w:pStyle w:val="2"/>
      </w:pPr>
    </w:p>
    <w:p w14:paraId="246F5B5D">
      <w:pPr>
        <w:pStyle w:val="2"/>
      </w:pPr>
    </w:p>
    <w:p w14:paraId="3DE6997D">
      <w:pPr>
        <w:pStyle w:val="3"/>
        <w:ind w:left="420"/>
      </w:pPr>
    </w:p>
    <w:p w14:paraId="436EB07A"/>
    <w:p w14:paraId="75630736">
      <w:pPr>
        <w:pStyle w:val="2"/>
      </w:pPr>
    </w:p>
    <w:p w14:paraId="1E53C8F1">
      <w:pPr>
        <w:pStyle w:val="3"/>
        <w:ind w:left="420"/>
      </w:pPr>
    </w:p>
    <w:p w14:paraId="237F1D4A">
      <w:pPr>
        <w:pStyle w:val="2"/>
      </w:pPr>
    </w:p>
    <w:p w14:paraId="57714E27">
      <w:pPr>
        <w:spacing w:line="600" w:lineRule="exact"/>
        <w:jc w:val="center"/>
        <w:rPr>
          <w:rFonts w:eastAsia="仿宋_GB2312" w:cs="仿宋_GB2312"/>
          <w:sz w:val="32"/>
          <w:szCs w:val="32"/>
        </w:rPr>
      </w:pPr>
      <w:r>
        <w:rPr>
          <w:rFonts w:hint="eastAsia" w:eastAsia="仿宋_GB2312" w:cs="仿宋_GB2312"/>
          <w:sz w:val="32"/>
          <w:szCs w:val="32"/>
        </w:rPr>
        <w:t>图4：财政拨款收、支决算总计变动情况</w:t>
      </w:r>
    </w:p>
    <w:p w14:paraId="605A9749">
      <w:pPr>
        <w:pStyle w:val="2"/>
      </w:pPr>
    </w:p>
    <w:p w14:paraId="4BD2D76B">
      <w:pPr>
        <w:spacing w:line="600" w:lineRule="exact"/>
        <w:ind w:firstLine="640" w:firstLineChars="200"/>
        <w:outlineLvl w:val="1"/>
        <w:rPr>
          <w:rStyle w:val="29"/>
          <w:rFonts w:ascii="Times New Roman" w:hAnsi="Times New Roman" w:eastAsia="黑体"/>
          <w:b w:val="0"/>
        </w:rPr>
      </w:pPr>
      <w:bookmarkStart w:id="20" w:name="_Toc15396607"/>
      <w:bookmarkStart w:id="21" w:name="_Toc15377209"/>
      <w:r>
        <w:rPr>
          <w:rFonts w:hint="eastAsia" w:eastAsia="黑体"/>
          <w:sz w:val="32"/>
          <w:szCs w:val="32"/>
        </w:rPr>
        <w:t>五、</w:t>
      </w:r>
      <w:r>
        <w:rPr>
          <w:rFonts w:hint="eastAsia" w:eastAsia="黑体"/>
          <w:b/>
          <w:sz w:val="32"/>
          <w:szCs w:val="32"/>
        </w:rPr>
        <w:t>一</w:t>
      </w:r>
      <w:r>
        <w:rPr>
          <w:rStyle w:val="29"/>
          <w:rFonts w:hint="eastAsia" w:ascii="Times New Roman" w:hAnsi="Times New Roman" w:eastAsia="黑体"/>
          <w:b w:val="0"/>
        </w:rPr>
        <w:t>般公共预算财政拨款支出决算情况说明</w:t>
      </w:r>
      <w:bookmarkEnd w:id="20"/>
      <w:bookmarkEnd w:id="21"/>
    </w:p>
    <w:p w14:paraId="3DE934F3">
      <w:pPr>
        <w:spacing w:line="600" w:lineRule="exact"/>
        <w:ind w:firstLine="643" w:firstLineChars="200"/>
        <w:outlineLvl w:val="2"/>
        <w:rPr>
          <w:rFonts w:eastAsia="楷体_GB2312" w:cs="楷体_GB2312"/>
          <w:b/>
          <w:sz w:val="32"/>
          <w:szCs w:val="32"/>
        </w:rPr>
      </w:pPr>
      <w:bookmarkStart w:id="22" w:name="_Toc15377210"/>
      <w:r>
        <w:rPr>
          <w:rFonts w:hint="eastAsia" w:eastAsia="楷体_GB2312" w:cs="楷体_GB2312"/>
          <w:b/>
          <w:sz w:val="32"/>
          <w:szCs w:val="32"/>
        </w:rPr>
        <w:t>（一）一般公共预算财政拨款支出决算总体情况</w:t>
      </w:r>
      <w:bookmarkEnd w:id="22"/>
    </w:p>
    <w:p w14:paraId="4F1E5680">
      <w:pPr>
        <w:spacing w:line="600" w:lineRule="exact"/>
        <w:ind w:firstLine="640"/>
        <w:rPr>
          <w:rFonts w:eastAsia="仿宋_GB2312" w:cs="仿宋_GB2312"/>
          <w:sz w:val="32"/>
          <w:szCs w:val="32"/>
        </w:rPr>
      </w:pPr>
      <w:r>
        <w:rPr>
          <w:rFonts w:hint="eastAsia" w:eastAsia="仿宋_GB2312" w:cs="仿宋_GB2312"/>
          <w:sz w:val="32"/>
          <w:szCs w:val="32"/>
        </w:rPr>
        <w:t>2025年度一般公共预算财政拨款支出1137万元，占本年支出合计的95.7%。与上年度相比，一般公共预算财政拨款支出增减少140.47万元，下降11%。主要变动原因是苏保区矿山迹地植被恢复生态治理二期建设项目资金支出减少。</w:t>
      </w:r>
    </w:p>
    <w:p w14:paraId="27287FCC">
      <w:pPr>
        <w:spacing w:line="600" w:lineRule="exact"/>
        <w:ind w:firstLine="640"/>
        <w:rPr>
          <w:rFonts w:eastAsia="仿宋_GB2312" w:cs="仿宋_GB2312"/>
          <w:sz w:val="32"/>
          <w:szCs w:val="32"/>
        </w:rPr>
      </w:pPr>
    </w:p>
    <w:p w14:paraId="14513478">
      <w:pPr>
        <w:pStyle w:val="2"/>
      </w:pPr>
    </w:p>
    <w:p w14:paraId="640C8E52">
      <w:pPr>
        <w:pStyle w:val="3"/>
        <w:ind w:left="420"/>
      </w:pPr>
    </w:p>
    <w:p w14:paraId="02E517A5"/>
    <w:p w14:paraId="23753470">
      <w:pPr>
        <w:pStyle w:val="2"/>
      </w:pPr>
      <w:r>
        <w:rPr>
          <w:rFonts w:hint="eastAsia"/>
        </w:rPr>
        <w:drawing>
          <wp:inline distT="0" distB="0" distL="0" distR="0">
            <wp:extent cx="5276850" cy="2647950"/>
            <wp:effectExtent l="0" t="0" r="19050" b="1905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217FC8D">
      <w:pPr>
        <w:pStyle w:val="2"/>
      </w:pPr>
    </w:p>
    <w:p w14:paraId="43FBEE96">
      <w:pPr>
        <w:spacing w:line="600" w:lineRule="exact"/>
        <w:jc w:val="center"/>
        <w:rPr>
          <w:rFonts w:eastAsia="仿宋_GB2312" w:cs="仿宋_GB2312"/>
          <w:sz w:val="32"/>
          <w:szCs w:val="32"/>
        </w:rPr>
      </w:pPr>
      <w:r>
        <w:rPr>
          <w:rFonts w:hint="eastAsia" w:eastAsia="仿宋_GB2312" w:cs="仿宋_GB2312"/>
          <w:sz w:val="32"/>
          <w:szCs w:val="32"/>
        </w:rPr>
        <w:t>图5：一般公共预算财政拨款支出决算变动情况</w:t>
      </w:r>
    </w:p>
    <w:p w14:paraId="794DFCAA">
      <w:pPr>
        <w:spacing w:line="600" w:lineRule="exact"/>
        <w:ind w:firstLine="643" w:firstLineChars="200"/>
        <w:outlineLvl w:val="2"/>
        <w:rPr>
          <w:rFonts w:eastAsia="楷体_GB2312" w:cs="楷体_GB2312"/>
          <w:b/>
          <w:sz w:val="32"/>
          <w:szCs w:val="32"/>
        </w:rPr>
      </w:pPr>
      <w:bookmarkStart w:id="23" w:name="_Toc15377211"/>
      <w:r>
        <w:rPr>
          <w:rFonts w:hint="eastAsia" w:eastAsia="楷体_GB2312" w:cs="楷体_GB2312"/>
          <w:b/>
          <w:sz w:val="32"/>
          <w:szCs w:val="32"/>
        </w:rPr>
        <w:t>（二）一般公共预算财政拨款支出决算结构情况</w:t>
      </w:r>
      <w:bookmarkEnd w:id="23"/>
    </w:p>
    <w:p w14:paraId="41077138">
      <w:pPr>
        <w:spacing w:line="600" w:lineRule="exact"/>
        <w:ind w:firstLine="640"/>
        <w:rPr>
          <w:rFonts w:eastAsia="仿宋_GB2312" w:cs="仿宋_GB2312"/>
          <w:sz w:val="32"/>
          <w:szCs w:val="32"/>
        </w:rPr>
      </w:pPr>
      <w:r>
        <w:rPr>
          <w:rFonts w:hint="eastAsia" w:eastAsia="仿宋_GB2312" w:cs="仿宋_GB2312"/>
          <w:sz w:val="32"/>
          <w:szCs w:val="32"/>
        </w:rPr>
        <w:t>2025年度一般公共预算财政拨款支出1137万元，主要用于以下方面：社会保障和就业支出48.32万元，占4.2%；卫生健康支出20.47万元，占1.8%；节能环保支出285.23万元，占25.1%；农林水支出695.47万元，占61.2%；住房保障支出27.52万元，占2.4%；其他支出59.99万元，占5.3%。</w:t>
      </w:r>
    </w:p>
    <w:p w14:paraId="013F9234">
      <w:pPr>
        <w:pStyle w:val="2"/>
      </w:pPr>
    </w:p>
    <w:p w14:paraId="0592CFAC">
      <w:pPr>
        <w:pStyle w:val="3"/>
        <w:ind w:left="420"/>
      </w:pPr>
      <w:r>
        <w:rPr>
          <w:rFonts w:hint="eastAsia"/>
        </w:rPr>
        <w:drawing>
          <wp:anchor distT="0" distB="0" distL="114300" distR="114300" simplePos="0" relativeHeight="251663360" behindDoc="0" locked="0" layoutInCell="1" allowOverlap="1">
            <wp:simplePos x="0" y="0"/>
            <wp:positionH relativeFrom="column">
              <wp:posOffset>0</wp:posOffset>
            </wp:positionH>
            <wp:positionV relativeFrom="paragraph">
              <wp:posOffset>-3810</wp:posOffset>
            </wp:positionV>
            <wp:extent cx="5305425" cy="2447925"/>
            <wp:effectExtent l="0" t="0" r="9525" b="9525"/>
            <wp:wrapNone/>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40604554"/>
    <w:p w14:paraId="6F1355A1">
      <w:pPr>
        <w:pStyle w:val="2"/>
      </w:pPr>
    </w:p>
    <w:p w14:paraId="2FBD374C">
      <w:pPr>
        <w:pStyle w:val="3"/>
        <w:ind w:left="420"/>
      </w:pPr>
    </w:p>
    <w:p w14:paraId="67D34D90"/>
    <w:p w14:paraId="7A16FD24">
      <w:pPr>
        <w:pStyle w:val="2"/>
      </w:pPr>
    </w:p>
    <w:p w14:paraId="1B804094">
      <w:pPr>
        <w:pStyle w:val="3"/>
        <w:ind w:left="420"/>
      </w:pPr>
    </w:p>
    <w:p w14:paraId="5D4ED252"/>
    <w:p w14:paraId="58ABD552">
      <w:pPr>
        <w:pStyle w:val="2"/>
      </w:pPr>
    </w:p>
    <w:p w14:paraId="04C0BBA5">
      <w:pPr>
        <w:pStyle w:val="3"/>
        <w:ind w:left="420"/>
      </w:pPr>
    </w:p>
    <w:p w14:paraId="5A7370E4">
      <w:pPr>
        <w:spacing w:line="600" w:lineRule="exact"/>
        <w:jc w:val="center"/>
        <w:rPr>
          <w:rFonts w:eastAsia="仿宋_GB2312" w:cs="仿宋_GB2312"/>
          <w:sz w:val="32"/>
          <w:szCs w:val="32"/>
        </w:rPr>
      </w:pPr>
    </w:p>
    <w:p w14:paraId="51FA0FAF">
      <w:pPr>
        <w:spacing w:line="600" w:lineRule="exact"/>
        <w:jc w:val="center"/>
        <w:rPr>
          <w:rFonts w:eastAsia="仿宋_GB2312" w:cs="仿宋_GB2312"/>
          <w:sz w:val="32"/>
          <w:szCs w:val="32"/>
        </w:rPr>
      </w:pPr>
      <w:r>
        <w:rPr>
          <w:rFonts w:hint="eastAsia" w:eastAsia="仿宋_GB2312" w:cs="仿宋_GB2312"/>
          <w:sz w:val="32"/>
          <w:szCs w:val="32"/>
        </w:rPr>
        <w:t>图6：一般公共预算财政拨款支出决算结构</w:t>
      </w:r>
    </w:p>
    <w:p w14:paraId="6DBC0FA5">
      <w:pPr>
        <w:spacing w:line="600" w:lineRule="exact"/>
        <w:ind w:firstLine="643" w:firstLineChars="200"/>
        <w:outlineLvl w:val="2"/>
        <w:rPr>
          <w:rFonts w:eastAsia="楷体_GB2312" w:cs="楷体_GB2312"/>
          <w:b/>
          <w:sz w:val="32"/>
          <w:szCs w:val="32"/>
        </w:rPr>
      </w:pPr>
      <w:bookmarkStart w:id="24" w:name="_Toc15377212"/>
      <w:r>
        <w:rPr>
          <w:rFonts w:hint="eastAsia" w:eastAsia="楷体_GB2312" w:cs="楷体_GB2312"/>
          <w:b/>
          <w:sz w:val="32"/>
          <w:szCs w:val="32"/>
        </w:rPr>
        <w:t>（三）一般公共预算财政拨款支出决算具体情况</w:t>
      </w:r>
      <w:bookmarkEnd w:id="24"/>
    </w:p>
    <w:p w14:paraId="2F1074C5">
      <w:pPr>
        <w:spacing w:line="600" w:lineRule="exact"/>
        <w:ind w:firstLine="640"/>
        <w:rPr>
          <w:rFonts w:eastAsia="仿宋_GB2312" w:cs="仿宋_GB2312"/>
          <w:sz w:val="32"/>
          <w:szCs w:val="32"/>
        </w:rPr>
      </w:pPr>
      <w:bookmarkStart w:id="25" w:name="_Toc15378460"/>
      <w:bookmarkStart w:id="26" w:name="_Toc15377444"/>
      <w:bookmarkStart w:id="27" w:name="_Toc15377213"/>
      <w:r>
        <w:rPr>
          <w:rFonts w:hint="eastAsia" w:eastAsia="仿宋_GB2312" w:cs="仿宋_GB2312"/>
          <w:sz w:val="32"/>
          <w:szCs w:val="32"/>
        </w:rPr>
        <w:t>2025年度一般公共预算支出决算数为1137万元，完成预算100%。其中：</w:t>
      </w:r>
      <w:bookmarkEnd w:id="25"/>
      <w:bookmarkEnd w:id="26"/>
      <w:bookmarkEnd w:id="27"/>
    </w:p>
    <w:p w14:paraId="629132D5">
      <w:pPr>
        <w:spacing w:line="600" w:lineRule="exact"/>
        <w:ind w:firstLine="640"/>
        <w:rPr>
          <w:rFonts w:eastAsia="仿宋_GB2312" w:cs="仿宋_GB2312"/>
          <w:sz w:val="32"/>
          <w:szCs w:val="32"/>
        </w:rPr>
      </w:pPr>
      <w:r>
        <w:rPr>
          <w:rFonts w:hint="eastAsia" w:eastAsia="仿宋_GB2312" w:cs="仿宋_GB2312"/>
          <w:sz w:val="32"/>
          <w:szCs w:val="32"/>
        </w:rPr>
        <w:t>1.社会保障和就业（类）人力资源和社会保障管理事务（款）其他人力资源和社会保障管理事务支出（项）：支出决算为0.72万元，完成预算100%，</w:t>
      </w:r>
      <w:r>
        <w:rPr>
          <w:rFonts w:eastAsia="仿宋_GB2312"/>
          <w:sz w:val="32"/>
          <w:szCs w:val="32"/>
        </w:rPr>
        <w:t>与预算数持平</w:t>
      </w:r>
      <w:r>
        <w:rPr>
          <w:rFonts w:hint="eastAsia" w:eastAsia="仿宋_GB2312" w:cs="仿宋_GB2312"/>
          <w:sz w:val="32"/>
          <w:szCs w:val="32"/>
        </w:rPr>
        <w:t>。</w:t>
      </w:r>
    </w:p>
    <w:p w14:paraId="0C5EF6F7">
      <w:pPr>
        <w:spacing w:line="600" w:lineRule="exact"/>
        <w:ind w:firstLine="640"/>
        <w:rPr>
          <w:rFonts w:eastAsia="仿宋_GB2312" w:cs="仿宋_GB2312"/>
          <w:sz w:val="32"/>
          <w:szCs w:val="32"/>
        </w:rPr>
      </w:pPr>
      <w:r>
        <w:rPr>
          <w:rFonts w:hint="eastAsia" w:eastAsia="仿宋_GB2312" w:cs="仿宋_GB2312"/>
          <w:sz w:val="32"/>
          <w:szCs w:val="32"/>
        </w:rPr>
        <w:t>2.社会保障和就业（类）行政事业单位养老支出（款）事业单位离退休（项）：支出决算为2.16万元，完成预算100%，与预算数持平。</w:t>
      </w:r>
    </w:p>
    <w:p w14:paraId="7539A6FE">
      <w:pPr>
        <w:spacing w:line="600" w:lineRule="exact"/>
        <w:ind w:firstLine="640"/>
        <w:rPr>
          <w:rFonts w:eastAsia="仿宋_GB2312" w:cs="仿宋_GB2312"/>
          <w:sz w:val="32"/>
          <w:szCs w:val="32"/>
        </w:rPr>
      </w:pPr>
      <w:r>
        <w:rPr>
          <w:rFonts w:hint="eastAsia" w:eastAsia="仿宋_GB2312" w:cs="仿宋_GB2312"/>
          <w:sz w:val="32"/>
          <w:szCs w:val="32"/>
        </w:rPr>
        <w:t>3.社会保障和就业（类）行政事业单位养老支出（款）机关事业单位基本养老保险缴费（项）：支出决算为37.84万元，完成预算100%，与预算数持平。</w:t>
      </w:r>
    </w:p>
    <w:p w14:paraId="05F4604D">
      <w:pPr>
        <w:spacing w:line="600" w:lineRule="exact"/>
        <w:ind w:firstLine="640"/>
        <w:rPr>
          <w:rFonts w:eastAsia="仿宋_GB2312" w:cs="仿宋_GB2312"/>
          <w:sz w:val="32"/>
          <w:szCs w:val="32"/>
        </w:rPr>
      </w:pPr>
      <w:r>
        <w:rPr>
          <w:rFonts w:hint="eastAsia" w:eastAsia="仿宋_GB2312" w:cs="仿宋_GB2312"/>
          <w:sz w:val="32"/>
          <w:szCs w:val="32"/>
        </w:rPr>
        <w:t>4.社会保障和就业（类）行政事业单位养老支出（款）机关事业单位职业年金缴费（项）：支出决算为7.6万元，完成预算100%，与预算数持平。</w:t>
      </w:r>
      <w:r>
        <w:rPr>
          <w:rFonts w:eastAsia="仿宋_GB2312" w:cs="仿宋_GB2312"/>
          <w:sz w:val="32"/>
          <w:szCs w:val="32"/>
        </w:rPr>
        <w:t xml:space="preserve"> </w:t>
      </w:r>
    </w:p>
    <w:p w14:paraId="0466D4AE">
      <w:pPr>
        <w:spacing w:line="600" w:lineRule="exact"/>
        <w:ind w:firstLine="640"/>
        <w:rPr>
          <w:rFonts w:eastAsia="仿宋_GB2312" w:cs="仿宋_GB2312"/>
          <w:sz w:val="32"/>
          <w:szCs w:val="32"/>
        </w:rPr>
      </w:pPr>
      <w:r>
        <w:rPr>
          <w:rFonts w:hint="eastAsia" w:eastAsia="仿宋_GB2312" w:cs="仿宋_GB2312"/>
          <w:sz w:val="32"/>
          <w:szCs w:val="32"/>
        </w:rPr>
        <w:t>5.卫生健康（类）行政事业单位医疗（款）事业单位医疗（项）：支出决算为18.21万元，完成预算100%，与预算数持平。</w:t>
      </w:r>
    </w:p>
    <w:p w14:paraId="60480A3C">
      <w:pPr>
        <w:spacing w:line="600" w:lineRule="exact"/>
        <w:ind w:firstLine="640"/>
        <w:rPr>
          <w:rFonts w:eastAsia="仿宋_GB2312" w:cs="仿宋_GB2312"/>
          <w:sz w:val="32"/>
          <w:szCs w:val="32"/>
        </w:rPr>
      </w:pPr>
      <w:r>
        <w:rPr>
          <w:rFonts w:hint="eastAsia" w:eastAsia="仿宋_GB2312" w:cs="仿宋_GB2312"/>
          <w:sz w:val="32"/>
          <w:szCs w:val="32"/>
        </w:rPr>
        <w:t>6.卫生健康（类）行政事业单位医疗（款）公务员医疗补助（项）：支出决算为2.26万元，完成预算100%，与预算数持平。</w:t>
      </w:r>
    </w:p>
    <w:p w14:paraId="69F8F71C">
      <w:pPr>
        <w:spacing w:line="600" w:lineRule="exact"/>
        <w:ind w:firstLine="640"/>
        <w:rPr>
          <w:rFonts w:eastAsia="仿宋_GB2312" w:cs="仿宋_GB2312"/>
          <w:sz w:val="32"/>
          <w:szCs w:val="32"/>
        </w:rPr>
      </w:pPr>
      <w:r>
        <w:rPr>
          <w:rFonts w:hint="eastAsia" w:eastAsia="仿宋_GB2312" w:cs="仿宋_GB2312"/>
          <w:sz w:val="32"/>
          <w:szCs w:val="32"/>
        </w:rPr>
        <w:t>7.节能环保（类）自然生态保护（款）自然保护地（项）</w:t>
      </w:r>
      <w:r>
        <w:rPr>
          <w:rFonts w:hint="eastAsia" w:eastAsia="仿宋_GB2312" w:cs="仿宋_GB2312"/>
          <w:sz w:val="32"/>
          <w:szCs w:val="32"/>
          <w:lang w:eastAsia="zh-CN"/>
        </w:rPr>
        <w:t>：</w:t>
      </w:r>
      <w:r>
        <w:rPr>
          <w:rFonts w:hint="eastAsia" w:eastAsia="仿宋_GB2312" w:cs="仿宋_GB2312"/>
          <w:sz w:val="32"/>
          <w:szCs w:val="32"/>
        </w:rPr>
        <w:t>支出决算为277.23万元，完成预算100%，与预算数持平。</w:t>
      </w:r>
    </w:p>
    <w:p w14:paraId="7E0764E0">
      <w:pPr>
        <w:spacing w:line="600" w:lineRule="exact"/>
        <w:ind w:firstLine="640"/>
        <w:rPr>
          <w:rFonts w:eastAsia="仿宋_GB2312" w:cs="仿宋_GB2312"/>
          <w:sz w:val="32"/>
          <w:szCs w:val="32"/>
        </w:rPr>
      </w:pPr>
      <w:r>
        <w:rPr>
          <w:rFonts w:hint="eastAsia" w:eastAsia="仿宋_GB2312" w:cs="仿宋_GB2312"/>
          <w:sz w:val="32"/>
          <w:szCs w:val="32"/>
        </w:rPr>
        <w:t>8.节能环保（类）森林保护修复（款）森林管护（项）</w:t>
      </w:r>
      <w:r>
        <w:rPr>
          <w:rFonts w:hint="eastAsia" w:eastAsia="仿宋_GB2312" w:cs="仿宋_GB2312"/>
          <w:sz w:val="32"/>
          <w:szCs w:val="32"/>
          <w:lang w:eastAsia="zh-CN"/>
        </w:rPr>
        <w:t>：</w:t>
      </w:r>
      <w:r>
        <w:rPr>
          <w:rFonts w:hint="eastAsia" w:eastAsia="仿宋_GB2312" w:cs="仿宋_GB2312"/>
          <w:sz w:val="32"/>
          <w:szCs w:val="32"/>
        </w:rPr>
        <w:t xml:space="preserve"> 支出决算为3.47万元，完成预算100%，与预算数持平。</w:t>
      </w:r>
    </w:p>
    <w:p w14:paraId="1BC24354">
      <w:pPr>
        <w:spacing w:line="600" w:lineRule="exact"/>
        <w:ind w:firstLine="640"/>
        <w:rPr>
          <w:rFonts w:eastAsia="仿宋_GB2312" w:cs="仿宋_GB2312"/>
          <w:sz w:val="32"/>
          <w:szCs w:val="32"/>
        </w:rPr>
      </w:pPr>
      <w:r>
        <w:rPr>
          <w:rFonts w:hint="eastAsia" w:eastAsia="仿宋_GB2312" w:cs="仿宋_GB2312"/>
          <w:sz w:val="32"/>
          <w:szCs w:val="32"/>
        </w:rPr>
        <w:t>9.节能环保（类）森林保护修复（款）其他森林保护修复支出（项）</w:t>
      </w:r>
      <w:r>
        <w:rPr>
          <w:rFonts w:hint="eastAsia" w:eastAsia="仿宋_GB2312" w:cs="仿宋_GB2312"/>
          <w:sz w:val="32"/>
          <w:szCs w:val="32"/>
          <w:lang w:eastAsia="zh-CN"/>
        </w:rPr>
        <w:t>：</w:t>
      </w:r>
      <w:r>
        <w:rPr>
          <w:rFonts w:hint="eastAsia" w:eastAsia="仿宋_GB2312" w:cs="仿宋_GB2312"/>
          <w:sz w:val="32"/>
          <w:szCs w:val="32"/>
        </w:rPr>
        <w:t xml:space="preserve"> 支出决算为4.53万元，完成预算100%，与预算数持平。</w:t>
      </w:r>
    </w:p>
    <w:p w14:paraId="7999C39C">
      <w:pPr>
        <w:spacing w:line="600" w:lineRule="exact"/>
        <w:ind w:firstLine="640"/>
        <w:rPr>
          <w:rFonts w:eastAsia="仿宋_GB2312" w:cs="仿宋_GB2312"/>
          <w:sz w:val="32"/>
          <w:szCs w:val="32"/>
        </w:rPr>
      </w:pPr>
      <w:r>
        <w:rPr>
          <w:rFonts w:hint="eastAsia" w:eastAsia="仿宋_GB2312" w:cs="仿宋_GB2312"/>
          <w:sz w:val="32"/>
          <w:szCs w:val="32"/>
        </w:rPr>
        <w:t>10.农林水（类）农业农村（款）事业运行（项）</w:t>
      </w:r>
      <w:r>
        <w:rPr>
          <w:rFonts w:hint="eastAsia" w:eastAsia="仿宋_GB2312" w:cs="仿宋_GB2312"/>
          <w:sz w:val="32"/>
          <w:szCs w:val="32"/>
          <w:lang w:eastAsia="zh-CN"/>
        </w:rPr>
        <w:t>：</w:t>
      </w:r>
      <w:r>
        <w:rPr>
          <w:rFonts w:hint="eastAsia" w:eastAsia="仿宋_GB2312" w:cs="仿宋_GB2312"/>
          <w:sz w:val="32"/>
          <w:szCs w:val="32"/>
        </w:rPr>
        <w:t xml:space="preserve"> 支出决算为0.58万元，完成预算100%，与预算数持平。</w:t>
      </w:r>
    </w:p>
    <w:p w14:paraId="3BB2206A">
      <w:pPr>
        <w:spacing w:line="600" w:lineRule="exact"/>
        <w:ind w:firstLine="640"/>
        <w:rPr>
          <w:rFonts w:eastAsia="仿宋_GB2312" w:cs="仿宋_GB2312"/>
          <w:sz w:val="32"/>
          <w:szCs w:val="32"/>
        </w:rPr>
      </w:pPr>
      <w:r>
        <w:rPr>
          <w:rFonts w:hint="eastAsia" w:eastAsia="仿宋_GB2312" w:cs="仿宋_GB2312"/>
          <w:sz w:val="32"/>
          <w:szCs w:val="32"/>
        </w:rPr>
        <w:t>11.农林水（类）林业和草原（款）事业机构（项）</w:t>
      </w:r>
      <w:r>
        <w:rPr>
          <w:rFonts w:hint="eastAsia" w:eastAsia="仿宋_GB2312" w:cs="仿宋_GB2312"/>
          <w:sz w:val="32"/>
          <w:szCs w:val="32"/>
          <w:lang w:eastAsia="zh-CN"/>
        </w:rPr>
        <w:t>：</w:t>
      </w:r>
      <w:r>
        <w:rPr>
          <w:rFonts w:hint="eastAsia" w:eastAsia="仿宋_GB2312" w:cs="仿宋_GB2312"/>
          <w:sz w:val="32"/>
          <w:szCs w:val="32"/>
        </w:rPr>
        <w:t xml:space="preserve"> 支出决算为309.68万元，完成预算100%，与预算数持平。</w:t>
      </w:r>
    </w:p>
    <w:p w14:paraId="4EDD0EFD">
      <w:pPr>
        <w:spacing w:line="600" w:lineRule="exact"/>
        <w:ind w:firstLine="640"/>
        <w:rPr>
          <w:rFonts w:eastAsia="仿宋_GB2312" w:cs="仿宋_GB2312"/>
          <w:sz w:val="32"/>
          <w:szCs w:val="32"/>
        </w:rPr>
      </w:pPr>
      <w:r>
        <w:rPr>
          <w:rFonts w:hint="eastAsia" w:eastAsia="仿宋_GB2312" w:cs="仿宋_GB2312"/>
          <w:sz w:val="32"/>
          <w:szCs w:val="32"/>
        </w:rPr>
        <w:t>12.农林水（类）林业和草原（款）动植物保护（项）</w:t>
      </w:r>
      <w:r>
        <w:rPr>
          <w:rFonts w:hint="eastAsia" w:eastAsia="仿宋_GB2312" w:cs="仿宋_GB2312"/>
          <w:sz w:val="32"/>
          <w:szCs w:val="32"/>
          <w:lang w:eastAsia="zh-CN"/>
        </w:rPr>
        <w:t>：</w:t>
      </w:r>
      <w:r>
        <w:rPr>
          <w:rFonts w:hint="eastAsia" w:eastAsia="仿宋_GB2312" w:cs="仿宋_GB2312"/>
          <w:sz w:val="32"/>
          <w:szCs w:val="32"/>
        </w:rPr>
        <w:t xml:space="preserve"> 支出决算为4万元，完成预算100%，与预算数持平。</w:t>
      </w:r>
    </w:p>
    <w:p w14:paraId="6DB66D5A">
      <w:pPr>
        <w:spacing w:line="600" w:lineRule="exact"/>
        <w:ind w:firstLine="640"/>
        <w:rPr>
          <w:rFonts w:eastAsia="仿宋_GB2312" w:cs="仿宋_GB2312"/>
          <w:sz w:val="32"/>
          <w:szCs w:val="32"/>
        </w:rPr>
      </w:pPr>
      <w:r>
        <w:rPr>
          <w:rFonts w:hint="eastAsia" w:eastAsia="仿宋_GB2312" w:cs="仿宋_GB2312"/>
          <w:sz w:val="32"/>
          <w:szCs w:val="32"/>
        </w:rPr>
        <w:t>13.农林水（类）林业和草原（款）其他林业和草原（项）</w:t>
      </w:r>
      <w:r>
        <w:rPr>
          <w:rFonts w:hint="eastAsia" w:eastAsia="仿宋_GB2312" w:cs="仿宋_GB2312"/>
          <w:sz w:val="32"/>
          <w:szCs w:val="32"/>
          <w:lang w:eastAsia="zh-CN"/>
        </w:rPr>
        <w:t>：</w:t>
      </w:r>
      <w:r>
        <w:rPr>
          <w:rFonts w:hint="eastAsia" w:eastAsia="仿宋_GB2312" w:cs="仿宋_GB2312"/>
          <w:sz w:val="32"/>
          <w:szCs w:val="32"/>
        </w:rPr>
        <w:t xml:space="preserve"> 支出决算为381.22万元，完成预算100%，与预算数持平。</w:t>
      </w:r>
    </w:p>
    <w:p w14:paraId="336F7F75">
      <w:pPr>
        <w:spacing w:line="600" w:lineRule="exact"/>
        <w:ind w:firstLine="640"/>
        <w:rPr>
          <w:rFonts w:eastAsia="仿宋_GB2312" w:cs="仿宋_GB2312"/>
          <w:b/>
          <w:bCs/>
          <w:sz w:val="32"/>
          <w:szCs w:val="32"/>
        </w:rPr>
      </w:pPr>
      <w:r>
        <w:rPr>
          <w:rFonts w:hint="eastAsia" w:eastAsia="仿宋_GB2312" w:cs="仿宋_GB2312"/>
          <w:sz w:val="32"/>
          <w:szCs w:val="32"/>
        </w:rPr>
        <w:t>14.住房保障（类）住房改革（款）住房公积金（项）</w:t>
      </w:r>
      <w:r>
        <w:rPr>
          <w:rFonts w:hint="eastAsia" w:eastAsia="仿宋_GB2312" w:cs="仿宋_GB2312"/>
          <w:sz w:val="32"/>
          <w:szCs w:val="32"/>
          <w:lang w:eastAsia="zh-CN"/>
        </w:rPr>
        <w:t>：</w:t>
      </w:r>
      <w:r>
        <w:rPr>
          <w:rFonts w:hint="eastAsia" w:eastAsia="仿宋_GB2312" w:cs="仿宋_GB2312"/>
          <w:sz w:val="32"/>
          <w:szCs w:val="32"/>
        </w:rPr>
        <w:t>支出决算为27.52万元，完成预算100%，与预算数持平。</w:t>
      </w:r>
    </w:p>
    <w:p w14:paraId="41D3EF1D">
      <w:pPr>
        <w:spacing w:line="600" w:lineRule="exact"/>
        <w:ind w:firstLine="640"/>
        <w:rPr>
          <w:rFonts w:eastAsia="仿宋_GB2312" w:cs="仿宋_GB2312"/>
          <w:sz w:val="32"/>
          <w:szCs w:val="32"/>
        </w:rPr>
      </w:pPr>
      <w:r>
        <w:rPr>
          <w:rFonts w:hint="eastAsia" w:eastAsia="仿宋_GB2312" w:cs="仿宋_GB2312"/>
          <w:sz w:val="32"/>
          <w:szCs w:val="32"/>
        </w:rPr>
        <w:t>15.其他（类）其他（款）其他（项）</w:t>
      </w:r>
      <w:r>
        <w:rPr>
          <w:rFonts w:hint="eastAsia" w:eastAsia="仿宋_GB2312" w:cs="仿宋_GB2312"/>
          <w:sz w:val="32"/>
          <w:szCs w:val="32"/>
          <w:lang w:eastAsia="zh-CN"/>
        </w:rPr>
        <w:t>：</w:t>
      </w:r>
      <w:r>
        <w:rPr>
          <w:rFonts w:hint="eastAsia" w:eastAsia="仿宋_GB2312" w:cs="仿宋_GB2312"/>
          <w:sz w:val="32"/>
          <w:szCs w:val="32"/>
        </w:rPr>
        <w:t>支出决算为59.99万元，完成预算100%，与预算数持平。</w:t>
      </w:r>
    </w:p>
    <w:p w14:paraId="3F6A70EA">
      <w:pPr>
        <w:tabs>
          <w:tab w:val="right" w:pos="8306"/>
        </w:tabs>
        <w:spacing w:line="600" w:lineRule="exact"/>
        <w:ind w:firstLine="640"/>
        <w:outlineLvl w:val="1"/>
        <w:rPr>
          <w:rStyle w:val="29"/>
          <w:rFonts w:ascii="Times New Roman" w:hAnsi="Times New Roman"/>
        </w:rPr>
      </w:pPr>
      <w:bookmarkStart w:id="28" w:name="_Toc15396608"/>
      <w:bookmarkStart w:id="29" w:name="_Toc15377214"/>
      <w:r>
        <w:rPr>
          <w:rFonts w:hint="eastAsia" w:eastAsia="黑体"/>
          <w:sz w:val="32"/>
          <w:szCs w:val="32"/>
        </w:rPr>
        <w:t>六</w:t>
      </w:r>
      <w:r>
        <w:rPr>
          <w:rFonts w:hint="eastAsia" w:eastAsia="黑体"/>
          <w:b/>
          <w:sz w:val="32"/>
          <w:szCs w:val="32"/>
        </w:rPr>
        <w:t>、一</w:t>
      </w:r>
      <w:r>
        <w:rPr>
          <w:rStyle w:val="29"/>
          <w:rFonts w:hint="eastAsia" w:ascii="Times New Roman" w:hAnsi="Times New Roman" w:eastAsia="黑体"/>
          <w:b w:val="0"/>
        </w:rPr>
        <w:t>般公共预算财政拨款基本支出决算情况说明</w:t>
      </w:r>
      <w:bookmarkEnd w:id="28"/>
      <w:bookmarkEnd w:id="29"/>
      <w:r>
        <w:rPr>
          <w:rStyle w:val="29"/>
          <w:rFonts w:ascii="Times New Roman" w:hAnsi="Times New Roman" w:eastAsia="黑体"/>
          <w:b w:val="0"/>
        </w:rPr>
        <w:tab/>
      </w:r>
    </w:p>
    <w:p w14:paraId="1F539AC1">
      <w:pPr>
        <w:spacing w:line="600" w:lineRule="exact"/>
        <w:ind w:firstLine="640"/>
        <w:rPr>
          <w:rFonts w:eastAsia="仿宋_GB2312" w:cs="仿宋_GB2312"/>
          <w:sz w:val="32"/>
          <w:szCs w:val="32"/>
        </w:rPr>
      </w:pPr>
      <w:r>
        <w:rPr>
          <w:rFonts w:hint="eastAsia" w:eastAsia="仿宋_GB2312" w:cs="仿宋_GB2312"/>
          <w:sz w:val="32"/>
          <w:szCs w:val="32"/>
        </w:rPr>
        <w:t>2025年度一般公共预算财政拨款基本支出406.57万元，其中：</w:t>
      </w:r>
    </w:p>
    <w:p w14:paraId="2D701817">
      <w:pPr>
        <w:spacing w:line="600" w:lineRule="exact"/>
        <w:ind w:firstLine="640"/>
        <w:rPr>
          <w:rFonts w:eastAsia="仿宋_GB2312" w:cs="仿宋_GB2312"/>
          <w:color w:val="FF0000"/>
          <w:sz w:val="32"/>
          <w:szCs w:val="32"/>
        </w:rPr>
      </w:pPr>
      <w:r>
        <w:rPr>
          <w:rFonts w:hint="eastAsia" w:eastAsia="仿宋_GB2312" w:cs="仿宋_GB2312"/>
          <w:sz w:val="32"/>
          <w:szCs w:val="32"/>
        </w:rPr>
        <w:t>人员经费374.34万元，主要包括：基本工资、津贴补贴、绩效工资、机关事业单位基本养老保险缴费、职业年金缴费、  职工基本医疗保险缴费、公务员医疗补助缴费、其他社会保障缴费、住房公积金、其他工资福利支出、其他对个人和家庭的补助支出、生活补助、医疗费补助、奖励金等。</w:t>
      </w:r>
      <w:r>
        <w:rPr>
          <w:rFonts w:hint="eastAsia" w:eastAsia="仿宋_GB2312" w:cs="仿宋_GB2312"/>
          <w:sz w:val="32"/>
          <w:szCs w:val="32"/>
        </w:rPr>
        <w:br w:type="textWrapping"/>
      </w:r>
      <w:r>
        <w:rPr>
          <w:rFonts w:hint="eastAsia" w:eastAsia="仿宋_GB2312" w:cs="仿宋_GB2312"/>
          <w:sz w:val="32"/>
          <w:szCs w:val="32"/>
        </w:rPr>
        <w:t>　　公用经费32.23万元，主要包括：办公费、水费、电费、邮电费、物业管理费、差旅费、培训费、公务接待费、工会经费、福利费、公务用车运行维护费、其他交通费、其他商品和服务支出、办公设备购置、资本性支出等。</w:t>
      </w:r>
    </w:p>
    <w:p w14:paraId="177C1F67">
      <w:pPr>
        <w:spacing w:line="600" w:lineRule="exact"/>
        <w:ind w:firstLine="640"/>
        <w:outlineLvl w:val="1"/>
        <w:rPr>
          <w:rStyle w:val="29"/>
          <w:rFonts w:ascii="Times New Roman" w:hAnsi="Times New Roman" w:eastAsia="黑体"/>
          <w:b w:val="0"/>
        </w:rPr>
      </w:pPr>
      <w:bookmarkStart w:id="30" w:name="_Toc15377215"/>
      <w:bookmarkStart w:id="31" w:name="_Toc15396609"/>
      <w:r>
        <w:rPr>
          <w:rFonts w:hint="eastAsia" w:eastAsia="黑体"/>
          <w:sz w:val="32"/>
          <w:szCs w:val="32"/>
        </w:rPr>
        <w:t>七、</w:t>
      </w:r>
      <w:r>
        <w:rPr>
          <w:rStyle w:val="29"/>
          <w:rFonts w:hint="eastAsia" w:ascii="Times New Roman" w:hAnsi="Times New Roman" w:eastAsia="黑体"/>
          <w:b w:val="0"/>
        </w:rPr>
        <w:t>财政拨款</w:t>
      </w:r>
      <w:r>
        <w:rPr>
          <w:rStyle w:val="29"/>
          <w:rFonts w:hint="eastAsia" w:ascii="Times New Roman" w:hAnsi="Times New Roman" w:eastAsia="黑体"/>
        </w:rPr>
        <w:t>“</w:t>
      </w:r>
      <w:r>
        <w:rPr>
          <w:rStyle w:val="29"/>
          <w:rFonts w:hint="eastAsia" w:ascii="Times New Roman" w:hAnsi="Times New Roman" w:eastAsia="黑体"/>
          <w:b w:val="0"/>
        </w:rPr>
        <w:t>三公”经费支出决算情况说明</w:t>
      </w:r>
      <w:bookmarkEnd w:id="30"/>
      <w:bookmarkEnd w:id="31"/>
    </w:p>
    <w:p w14:paraId="1362A11F">
      <w:pPr>
        <w:spacing w:line="600" w:lineRule="exact"/>
        <w:ind w:firstLine="643" w:firstLineChars="200"/>
        <w:outlineLvl w:val="2"/>
        <w:rPr>
          <w:rFonts w:eastAsia="楷体_GB2312" w:cs="楷体_GB2312"/>
          <w:b/>
          <w:sz w:val="32"/>
          <w:szCs w:val="32"/>
        </w:rPr>
      </w:pPr>
      <w:bookmarkStart w:id="32" w:name="_Toc15377216"/>
      <w:r>
        <w:rPr>
          <w:rFonts w:hint="eastAsia" w:eastAsia="楷体_GB2312" w:cs="楷体_GB2312"/>
          <w:b/>
          <w:sz w:val="32"/>
          <w:szCs w:val="32"/>
        </w:rPr>
        <w:t>（一）财政拨款“三公”经费支出决算总体情况说明</w:t>
      </w:r>
      <w:bookmarkEnd w:id="32"/>
    </w:p>
    <w:p w14:paraId="38AC68D5">
      <w:pPr>
        <w:spacing w:line="600" w:lineRule="exact"/>
        <w:ind w:firstLine="640"/>
        <w:rPr>
          <w:rFonts w:eastAsia="仿宋_GB2312" w:cs="仿宋_GB2312"/>
          <w:sz w:val="32"/>
          <w:szCs w:val="32"/>
        </w:rPr>
      </w:pPr>
      <w:r>
        <w:rPr>
          <w:rFonts w:hint="eastAsia" w:eastAsia="仿宋_GB2312" w:cs="仿宋_GB2312"/>
          <w:sz w:val="32"/>
          <w:szCs w:val="32"/>
        </w:rPr>
        <w:t>2025年度财政拨款“三公”经费支出决算为25.9万元，完成预算100%，较上年度增加18.4万元，增长245.3%。</w:t>
      </w:r>
    </w:p>
    <w:p w14:paraId="7799684F">
      <w:pPr>
        <w:spacing w:line="600" w:lineRule="exact"/>
        <w:ind w:firstLine="643" w:firstLineChars="200"/>
        <w:outlineLvl w:val="2"/>
        <w:rPr>
          <w:rFonts w:eastAsia="楷体_GB2312" w:cs="楷体_GB2312"/>
          <w:b/>
          <w:sz w:val="32"/>
          <w:szCs w:val="32"/>
        </w:rPr>
      </w:pPr>
      <w:bookmarkStart w:id="33" w:name="_Toc15377217"/>
      <w:r>
        <w:rPr>
          <w:rFonts w:hint="eastAsia" w:eastAsia="楷体_GB2312" w:cs="楷体_GB2312"/>
          <w:b/>
          <w:sz w:val="32"/>
          <w:szCs w:val="32"/>
        </w:rPr>
        <w:t>（二）财政拨款“三公”经费支出决算具体情况说明</w:t>
      </w:r>
      <w:bookmarkEnd w:id="33"/>
    </w:p>
    <w:p w14:paraId="512B4359">
      <w:pPr>
        <w:spacing w:line="600" w:lineRule="exact"/>
        <w:ind w:firstLine="640"/>
        <w:rPr>
          <w:rFonts w:eastAsia="仿宋_GB2312" w:cs="仿宋_GB2312"/>
          <w:sz w:val="32"/>
          <w:szCs w:val="32"/>
        </w:rPr>
      </w:pPr>
      <w:r>
        <w:rPr>
          <w:rFonts w:hint="eastAsia" w:eastAsia="仿宋_GB2312" w:cs="仿宋_GB2312"/>
          <w:sz w:val="32"/>
          <w:szCs w:val="32"/>
        </w:rPr>
        <w:t>2025年度财政拨款“三公”经费支出决算中，因公出国（境）费支出决算0万元，占0%；公务用车购置及运行维护费支出决算25.75万元，占99.4%；公务接待费支出决算0.15万元，占0.6%。具体情况如下：</w:t>
      </w:r>
    </w:p>
    <w:p w14:paraId="23DA4398">
      <w:pPr>
        <w:pStyle w:val="2"/>
      </w:pPr>
    </w:p>
    <w:p w14:paraId="5BFDBF07">
      <w:pPr>
        <w:pStyle w:val="3"/>
        <w:ind w:left="420"/>
      </w:pPr>
      <w:r>
        <w:rPr>
          <w:rFonts w:hint="eastAsia"/>
        </w:rPr>
        <w:drawing>
          <wp:anchor distT="0" distB="0" distL="114300" distR="114300" simplePos="0" relativeHeight="251664384" behindDoc="0" locked="0" layoutInCell="1" allowOverlap="1">
            <wp:simplePos x="0" y="0"/>
            <wp:positionH relativeFrom="column">
              <wp:posOffset>57150</wp:posOffset>
            </wp:positionH>
            <wp:positionV relativeFrom="paragraph">
              <wp:posOffset>1905</wp:posOffset>
            </wp:positionV>
            <wp:extent cx="5191125" cy="2352675"/>
            <wp:effectExtent l="0" t="0" r="9525" b="9525"/>
            <wp:wrapNone/>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14:paraId="544CC590"/>
    <w:p w14:paraId="25F835E4">
      <w:pPr>
        <w:pStyle w:val="2"/>
      </w:pPr>
    </w:p>
    <w:p w14:paraId="14A6618A">
      <w:pPr>
        <w:pStyle w:val="3"/>
        <w:ind w:left="420"/>
      </w:pPr>
    </w:p>
    <w:p w14:paraId="3814ECF1"/>
    <w:p w14:paraId="31306D26">
      <w:pPr>
        <w:pStyle w:val="2"/>
      </w:pPr>
    </w:p>
    <w:p w14:paraId="21A98CB2">
      <w:pPr>
        <w:pStyle w:val="3"/>
        <w:ind w:left="420"/>
      </w:pPr>
    </w:p>
    <w:p w14:paraId="6901178E"/>
    <w:p w14:paraId="1C8F7504">
      <w:pPr>
        <w:pStyle w:val="2"/>
      </w:pPr>
    </w:p>
    <w:p w14:paraId="4D99D2D7">
      <w:pPr>
        <w:pStyle w:val="3"/>
        <w:ind w:left="420"/>
      </w:pPr>
    </w:p>
    <w:p w14:paraId="7D02B7EB"/>
    <w:p w14:paraId="7F1A0D8B">
      <w:pPr>
        <w:pStyle w:val="2"/>
      </w:pPr>
    </w:p>
    <w:p w14:paraId="67E4EB13">
      <w:pPr>
        <w:spacing w:line="600" w:lineRule="exact"/>
        <w:jc w:val="center"/>
        <w:rPr>
          <w:rFonts w:eastAsia="仿宋_GB2312" w:cs="仿宋_GB2312"/>
          <w:sz w:val="32"/>
          <w:szCs w:val="32"/>
        </w:rPr>
      </w:pPr>
      <w:r>
        <w:rPr>
          <w:rFonts w:hint="eastAsia" w:eastAsia="仿宋_GB2312" w:cs="仿宋_GB2312"/>
          <w:sz w:val="32"/>
          <w:szCs w:val="32"/>
        </w:rPr>
        <w:t>图7：财政拨款“三公”经费支出结构</w:t>
      </w:r>
    </w:p>
    <w:p w14:paraId="4DBB5D5A">
      <w:pPr>
        <w:spacing w:line="600" w:lineRule="exact"/>
        <w:ind w:firstLine="640"/>
        <w:rPr>
          <w:rFonts w:eastAsia="仿宋_GB2312" w:cs="仿宋_GB2312"/>
          <w:sz w:val="32"/>
          <w:szCs w:val="32"/>
        </w:rPr>
      </w:pPr>
      <w:r>
        <w:rPr>
          <w:rFonts w:hint="eastAsia" w:eastAsia="仿宋_GB2312" w:cs="仿宋_GB2312"/>
          <w:b/>
          <w:bCs/>
          <w:sz w:val="32"/>
          <w:szCs w:val="32"/>
        </w:rPr>
        <w:t>1.因公出国（境）经费支出0万元，全年未安排因公出国（境）团组。</w:t>
      </w:r>
      <w:r>
        <w:rPr>
          <w:rFonts w:eastAsia="仿宋_GB2312" w:cs="仿宋_GB2312"/>
          <w:sz w:val="32"/>
          <w:szCs w:val="32"/>
        </w:rPr>
        <w:t xml:space="preserve"> </w:t>
      </w:r>
    </w:p>
    <w:p w14:paraId="02EE4B4D">
      <w:pPr>
        <w:spacing w:line="600" w:lineRule="exact"/>
        <w:ind w:firstLine="640"/>
        <w:rPr>
          <w:rFonts w:eastAsia="仿宋_GB2312" w:cs="仿宋_GB2312"/>
          <w:sz w:val="32"/>
          <w:szCs w:val="32"/>
        </w:rPr>
      </w:pPr>
      <w:r>
        <w:rPr>
          <w:rFonts w:hint="eastAsia" w:eastAsia="仿宋_GB2312" w:cs="仿宋_GB2312"/>
          <w:b/>
          <w:bCs/>
          <w:sz w:val="32"/>
          <w:szCs w:val="32"/>
        </w:rPr>
        <w:t>2.公务用车购置及运行维护费支出25.75万元，完成预算100%。</w:t>
      </w:r>
      <w:r>
        <w:rPr>
          <w:rFonts w:hint="eastAsia" w:eastAsia="仿宋_GB2312" w:cs="仿宋_GB2312"/>
          <w:sz w:val="32"/>
          <w:szCs w:val="32"/>
        </w:rPr>
        <w:t>公务用车购置及运行维护费支出决算比上年度增加18.58万元，增长259.1%。主要原因是按规定更新购置一辆公务车。</w:t>
      </w:r>
    </w:p>
    <w:p w14:paraId="6842AB3F">
      <w:pPr>
        <w:spacing w:line="600" w:lineRule="exact"/>
        <w:ind w:firstLine="640"/>
        <w:rPr>
          <w:rFonts w:eastAsia="仿宋_GB2312" w:cs="仿宋_GB2312"/>
          <w:sz w:val="32"/>
          <w:szCs w:val="32"/>
        </w:rPr>
      </w:pPr>
      <w:r>
        <w:rPr>
          <w:rFonts w:hint="eastAsia" w:eastAsia="仿宋_GB2312" w:cs="仿宋_GB2312"/>
          <w:sz w:val="32"/>
          <w:szCs w:val="32"/>
        </w:rPr>
        <w:t>其中：公务用车购置支出17.98万元。全年按规定更新购置公务用车1辆，其中：轿车0辆、金额0万元，越野车0辆、金额0万元，载客汽车0辆、金额0万元，皮卡车1辆、金额17.98万元。主要用于森林防火野外巡护和防灭火无人机作业使用。截至2025年12月31日，单位共有公务用车4辆，其中：轿车1辆、越野车2辆、皮卡车1辆。</w:t>
      </w:r>
    </w:p>
    <w:p w14:paraId="36444D0E">
      <w:pPr>
        <w:spacing w:line="600" w:lineRule="exact"/>
        <w:ind w:firstLine="640"/>
        <w:rPr>
          <w:rFonts w:eastAsia="仿宋_GB2312" w:cs="仿宋_GB2312"/>
          <w:sz w:val="32"/>
          <w:szCs w:val="32"/>
        </w:rPr>
      </w:pPr>
      <w:r>
        <w:rPr>
          <w:rFonts w:hint="eastAsia" w:eastAsia="仿宋_GB2312" w:cs="仿宋_GB2312"/>
          <w:sz w:val="32"/>
          <w:szCs w:val="32"/>
        </w:rPr>
        <w:t>公务用车运行维护费支出7.77万元。主要用于保护区开展日常工作、野外巡护、火情监测以及项目建设管理等所需的公务用车燃料费、维修费、过路过桥费、保险费等支出。</w:t>
      </w:r>
    </w:p>
    <w:p w14:paraId="61194305">
      <w:pPr>
        <w:spacing w:line="600" w:lineRule="exact"/>
        <w:ind w:firstLine="640"/>
        <w:rPr>
          <w:rFonts w:eastAsia="仿宋_GB2312" w:cs="仿宋_GB2312"/>
          <w:sz w:val="32"/>
          <w:szCs w:val="32"/>
        </w:rPr>
      </w:pPr>
      <w:r>
        <w:rPr>
          <w:rFonts w:hint="eastAsia" w:eastAsia="仿宋_GB2312" w:cs="仿宋_GB2312"/>
          <w:b/>
          <w:bCs/>
          <w:sz w:val="32"/>
          <w:szCs w:val="32"/>
        </w:rPr>
        <w:t>3.公务接待费支出0.15万元，完成预算100%。</w:t>
      </w:r>
      <w:r>
        <w:rPr>
          <w:rFonts w:hint="eastAsia" w:eastAsia="仿宋_GB2312" w:cs="仿宋_GB2312"/>
          <w:sz w:val="32"/>
          <w:szCs w:val="32"/>
        </w:rPr>
        <w:t>公务接待费支出决算比上年度减少0.18万元，下降54.5%。主要原因是接待上级部门到保护区调研、检查工作人数减少。其中：</w:t>
      </w:r>
    </w:p>
    <w:p w14:paraId="2051B4BB">
      <w:pPr>
        <w:spacing w:line="600" w:lineRule="exact"/>
        <w:ind w:firstLine="640"/>
        <w:rPr>
          <w:rFonts w:eastAsia="仿宋_GB2312" w:cs="仿宋_GB2312"/>
          <w:sz w:val="32"/>
          <w:szCs w:val="32"/>
        </w:rPr>
      </w:pPr>
      <w:r>
        <w:rPr>
          <w:rFonts w:hint="eastAsia" w:eastAsia="仿宋_GB2312" w:cs="仿宋_GB2312"/>
          <w:sz w:val="32"/>
          <w:szCs w:val="32"/>
        </w:rPr>
        <w:t>国内公务接待支出0.15万元，主要用于接待上级部门到保护区调研、检查工作产生的用餐费。国内公务接待3批次，15人次（不包括陪同人员），共计支出0.15万元，具体内容包括：接待省级部门到保护区专项检查1次662元，接待四川省大熊猫科学研究院调研1次340元，接待凉山州林草保护中心到保护区调研1次480元。</w:t>
      </w:r>
    </w:p>
    <w:p w14:paraId="5C455847">
      <w:pPr>
        <w:spacing w:line="600" w:lineRule="exact"/>
        <w:ind w:firstLine="640"/>
        <w:rPr>
          <w:rFonts w:eastAsia="仿宋_GB2312" w:cs="仿宋_GB2312"/>
          <w:sz w:val="32"/>
          <w:szCs w:val="32"/>
        </w:rPr>
      </w:pPr>
      <w:r>
        <w:rPr>
          <w:rFonts w:hint="eastAsia" w:eastAsia="仿宋_GB2312" w:cs="仿宋_GB2312"/>
          <w:sz w:val="32"/>
          <w:szCs w:val="32"/>
        </w:rPr>
        <w:t>外事接待支出0万元。外事接待0批次，0人次（不包括陪同人员），共计支出0万元。</w:t>
      </w:r>
      <w:bookmarkStart w:id="34" w:name="_Toc15377218"/>
      <w:bookmarkStart w:id="35" w:name="_Toc15396610"/>
    </w:p>
    <w:p w14:paraId="75CEB13E">
      <w:pPr>
        <w:spacing w:line="600" w:lineRule="exact"/>
        <w:ind w:firstLine="640"/>
        <w:outlineLvl w:val="1"/>
        <w:rPr>
          <w:rStyle w:val="29"/>
          <w:rFonts w:ascii="Times New Roman" w:hAnsi="Times New Roman" w:eastAsia="黑体"/>
        </w:rPr>
      </w:pPr>
      <w:r>
        <w:rPr>
          <w:rFonts w:hint="eastAsia" w:eastAsia="黑体"/>
          <w:sz w:val="32"/>
          <w:szCs w:val="32"/>
        </w:rPr>
        <w:t>八、</w:t>
      </w:r>
      <w:r>
        <w:rPr>
          <w:rStyle w:val="29"/>
          <w:rFonts w:hint="eastAsia" w:ascii="Times New Roman" w:hAnsi="Times New Roman" w:eastAsia="黑体"/>
          <w:b w:val="0"/>
        </w:rPr>
        <w:t>政府性基金预算支出决算情况说明</w:t>
      </w:r>
      <w:bookmarkEnd w:id="34"/>
      <w:bookmarkEnd w:id="35"/>
    </w:p>
    <w:p w14:paraId="3148E48D">
      <w:pPr>
        <w:spacing w:line="600" w:lineRule="exact"/>
        <w:ind w:firstLine="640"/>
        <w:rPr>
          <w:rFonts w:eastAsia="仿宋_GB2312" w:cs="仿宋_GB2312"/>
          <w:b/>
          <w:bCs/>
          <w:sz w:val="32"/>
          <w:szCs w:val="32"/>
        </w:rPr>
      </w:pPr>
      <w:r>
        <w:rPr>
          <w:rFonts w:hint="eastAsia" w:eastAsia="仿宋_GB2312" w:cs="仿宋_GB2312"/>
          <w:sz w:val="32"/>
          <w:szCs w:val="32"/>
        </w:rPr>
        <w:t>2025年度政府性基金预算财政拨款支出51.48万元，占本年支出合计的4.3%。与上年度相比，政府性基金预算财政拨款支出减少147.48万元，下降74.1%。主要变动原因是苏保区矿山迹地植被恢复生态治理二期建设项目款项发生变化。</w:t>
      </w:r>
    </w:p>
    <w:p w14:paraId="7D7216CA">
      <w:pPr>
        <w:spacing w:line="600" w:lineRule="exact"/>
        <w:ind w:left="630"/>
        <w:outlineLvl w:val="1"/>
        <w:rPr>
          <w:rStyle w:val="29"/>
          <w:rFonts w:ascii="Times New Roman" w:hAnsi="Times New Roman" w:eastAsia="黑体"/>
          <w:b w:val="0"/>
        </w:rPr>
      </w:pPr>
      <w:bookmarkStart w:id="36" w:name="_Toc15377219"/>
      <w:bookmarkStart w:id="37" w:name="_Toc15396611"/>
      <w:r>
        <w:rPr>
          <w:rStyle w:val="29"/>
          <w:rFonts w:hint="eastAsia" w:ascii="Times New Roman" w:hAnsi="Times New Roman" w:eastAsia="黑体"/>
          <w:b w:val="0"/>
        </w:rPr>
        <w:t>九、国有资本经营预算支出决算情况说明</w:t>
      </w:r>
      <w:bookmarkEnd w:id="36"/>
      <w:bookmarkEnd w:id="37"/>
    </w:p>
    <w:p w14:paraId="4AA72BAE">
      <w:pPr>
        <w:spacing w:line="600" w:lineRule="exact"/>
        <w:ind w:firstLine="640"/>
        <w:rPr>
          <w:rFonts w:eastAsia="仿宋_GB2312"/>
          <w:sz w:val="32"/>
          <w:szCs w:val="32"/>
        </w:rPr>
      </w:pPr>
      <w:r>
        <w:rPr>
          <w:rFonts w:eastAsia="仿宋_GB2312"/>
          <w:sz w:val="32"/>
          <w:szCs w:val="32"/>
        </w:rPr>
        <w:t>202</w:t>
      </w:r>
      <w:r>
        <w:rPr>
          <w:rFonts w:hint="eastAsia" w:eastAsia="仿宋_GB2312"/>
          <w:sz w:val="32"/>
          <w:szCs w:val="32"/>
        </w:rPr>
        <w:t>5</w:t>
      </w:r>
      <w:r>
        <w:rPr>
          <w:rFonts w:eastAsia="仿宋_GB2312"/>
          <w:sz w:val="32"/>
          <w:szCs w:val="32"/>
        </w:rPr>
        <w:t>年度国有资本经营预算财政拨款支出0万元</w:t>
      </w:r>
      <w:r>
        <w:rPr>
          <w:rFonts w:hint="eastAsia" w:eastAsia="仿宋_GB2312"/>
          <w:sz w:val="32"/>
          <w:szCs w:val="32"/>
        </w:rPr>
        <w:t>。</w:t>
      </w:r>
    </w:p>
    <w:p w14:paraId="70A67694">
      <w:pPr>
        <w:spacing w:line="600" w:lineRule="exact"/>
        <w:ind w:left="630"/>
        <w:outlineLvl w:val="1"/>
        <w:rPr>
          <w:rStyle w:val="29"/>
          <w:rFonts w:ascii="Times New Roman" w:hAnsi="Times New Roman" w:eastAsia="黑体"/>
          <w:b w:val="0"/>
        </w:rPr>
      </w:pPr>
      <w:bookmarkStart w:id="38" w:name="_Toc15377221"/>
      <w:bookmarkStart w:id="39" w:name="_Toc15396612"/>
      <w:r>
        <w:rPr>
          <w:rStyle w:val="29"/>
          <w:rFonts w:hint="eastAsia" w:ascii="Times New Roman" w:hAnsi="Times New Roman" w:eastAsia="黑体"/>
          <w:b w:val="0"/>
        </w:rPr>
        <w:t>十、其他重要事项的情况说明</w:t>
      </w:r>
      <w:bookmarkEnd w:id="38"/>
      <w:bookmarkEnd w:id="39"/>
    </w:p>
    <w:p w14:paraId="7589B211">
      <w:pPr>
        <w:spacing w:line="600" w:lineRule="exact"/>
        <w:ind w:firstLine="643" w:firstLineChars="200"/>
        <w:outlineLvl w:val="2"/>
        <w:rPr>
          <w:rFonts w:eastAsia="楷体_GB2312" w:cs="楷体_GB2312"/>
          <w:b/>
          <w:sz w:val="32"/>
          <w:szCs w:val="32"/>
        </w:rPr>
      </w:pPr>
      <w:bookmarkStart w:id="40" w:name="_Toc15377222"/>
      <w:r>
        <w:rPr>
          <w:rFonts w:hint="eastAsia" w:eastAsia="楷体_GB2312" w:cs="楷体_GB2312"/>
          <w:b/>
          <w:sz w:val="32"/>
          <w:szCs w:val="32"/>
        </w:rPr>
        <w:t>（一）机关运行经费支出情况</w:t>
      </w:r>
      <w:bookmarkEnd w:id="40"/>
    </w:p>
    <w:p w14:paraId="25B47207">
      <w:pPr>
        <w:spacing w:line="600" w:lineRule="exact"/>
        <w:ind w:firstLine="640"/>
        <w:rPr>
          <w:rFonts w:eastAsia="仿宋_GB2312"/>
          <w:sz w:val="32"/>
          <w:szCs w:val="32"/>
        </w:rPr>
      </w:pPr>
      <w:r>
        <w:rPr>
          <w:rFonts w:eastAsia="仿宋_GB2312"/>
          <w:sz w:val="32"/>
          <w:szCs w:val="32"/>
        </w:rPr>
        <w:t>202</w:t>
      </w:r>
      <w:r>
        <w:rPr>
          <w:rFonts w:hint="eastAsia" w:eastAsia="仿宋_GB2312"/>
          <w:sz w:val="32"/>
          <w:szCs w:val="32"/>
        </w:rPr>
        <w:t>5</w:t>
      </w:r>
      <w:r>
        <w:rPr>
          <w:rFonts w:eastAsia="仿宋_GB2312"/>
          <w:sz w:val="32"/>
          <w:szCs w:val="32"/>
        </w:rPr>
        <w:t>年度，四川攀枝花苏铁国家级自然保护区保护中心机关运行经费支出0万元，与202</w:t>
      </w:r>
      <w:r>
        <w:rPr>
          <w:rFonts w:hint="eastAsia" w:eastAsia="仿宋_GB2312"/>
          <w:sz w:val="32"/>
          <w:szCs w:val="32"/>
        </w:rPr>
        <w:t>4</w:t>
      </w:r>
      <w:r>
        <w:rPr>
          <w:rFonts w:eastAsia="仿宋_GB2312"/>
          <w:sz w:val="32"/>
          <w:szCs w:val="32"/>
        </w:rPr>
        <w:t>年度决算数持平。</w:t>
      </w:r>
    </w:p>
    <w:p w14:paraId="2024B0AF">
      <w:pPr>
        <w:spacing w:line="600" w:lineRule="exact"/>
        <w:ind w:firstLine="643" w:firstLineChars="200"/>
        <w:outlineLvl w:val="2"/>
        <w:rPr>
          <w:rFonts w:eastAsia="楷体_GB2312" w:cs="楷体_GB2312"/>
          <w:b/>
          <w:sz w:val="32"/>
          <w:szCs w:val="32"/>
        </w:rPr>
      </w:pPr>
      <w:bookmarkStart w:id="41" w:name="_Toc15377223"/>
      <w:r>
        <w:rPr>
          <w:rFonts w:hint="eastAsia" w:eastAsia="楷体_GB2312" w:cs="楷体_GB2312"/>
          <w:b/>
          <w:sz w:val="32"/>
          <w:szCs w:val="32"/>
        </w:rPr>
        <w:t>（二）政府采购支出情况</w:t>
      </w:r>
      <w:bookmarkEnd w:id="41"/>
    </w:p>
    <w:p w14:paraId="21EF934C">
      <w:pPr>
        <w:spacing w:line="600" w:lineRule="exact"/>
        <w:ind w:firstLine="640"/>
        <w:rPr>
          <w:rFonts w:eastAsia="仿宋_GB2312" w:cs="仿宋_GB2312"/>
          <w:sz w:val="32"/>
          <w:szCs w:val="32"/>
        </w:rPr>
      </w:pPr>
      <w:r>
        <w:rPr>
          <w:rFonts w:hint="eastAsia" w:eastAsia="仿宋_GB2312" w:cs="仿宋_GB2312"/>
          <w:sz w:val="32"/>
          <w:szCs w:val="32"/>
        </w:rPr>
        <w:t>2025年度，四川攀枝花苏铁国家级自然保护区保护中心政府采购支出总额392.63万元，其中：政府采购货物支出12.75万元、政府采购工程支出290.5万元、政府采购服务支出89.39万元。主要用于采购办公设备及公务车保险、加油、维修等服务，引水上山防灭火工程采购。授予中小企业合同金额390.82万元，占政府采购支出总额的99.5%，其中：授予小微企业合同金额390.82万元，占政府采购支出总额的99.5%。</w:t>
      </w:r>
    </w:p>
    <w:p w14:paraId="34AB723F">
      <w:pPr>
        <w:spacing w:line="600" w:lineRule="exact"/>
        <w:ind w:firstLine="643" w:firstLineChars="200"/>
        <w:outlineLvl w:val="2"/>
        <w:rPr>
          <w:rFonts w:eastAsia="楷体_GB2312" w:cs="楷体_GB2312"/>
          <w:b/>
          <w:sz w:val="32"/>
          <w:szCs w:val="32"/>
        </w:rPr>
      </w:pPr>
      <w:bookmarkStart w:id="42" w:name="_Toc15377224"/>
      <w:r>
        <w:rPr>
          <w:rFonts w:hint="eastAsia" w:eastAsia="楷体_GB2312" w:cs="楷体_GB2312"/>
          <w:b/>
          <w:sz w:val="32"/>
          <w:szCs w:val="32"/>
        </w:rPr>
        <w:t>（三）国有资产占有使用情况</w:t>
      </w:r>
      <w:bookmarkEnd w:id="42"/>
    </w:p>
    <w:p w14:paraId="1E2D16CD">
      <w:pPr>
        <w:spacing w:line="600" w:lineRule="exact"/>
        <w:ind w:firstLine="640"/>
        <w:rPr>
          <w:rFonts w:eastAsia="仿宋_GB2312" w:cs="仿宋_GB2312"/>
          <w:sz w:val="32"/>
          <w:szCs w:val="32"/>
        </w:rPr>
      </w:pPr>
      <w:r>
        <w:rPr>
          <w:rFonts w:hint="eastAsia" w:eastAsia="仿宋_GB2312" w:cs="仿宋_GB2312"/>
          <w:sz w:val="32"/>
          <w:szCs w:val="32"/>
        </w:rPr>
        <w:t>截至2025年12月31日，四川攀枝花苏铁国家级自然保护区保护中心共有车辆4辆，其中：副部（省）级及以上领导用车0辆、主要负责人用车0辆、机要通信用车0辆、应急保障用车0辆、执法执勤用车1辆、特种专业技术用车1辆、离退休干部服务用车0辆、其他用车2辆，车辆主要是用于</w:t>
      </w:r>
      <w:r>
        <w:rPr>
          <w:rFonts w:eastAsia="仿宋_GB2312"/>
          <w:sz w:val="32"/>
          <w:szCs w:val="32"/>
        </w:rPr>
        <w:t>开展日常工作、保护区内资源保护巡护、森林防火巡查等</w:t>
      </w:r>
      <w:r>
        <w:rPr>
          <w:rFonts w:hint="eastAsia" w:eastAsia="仿宋_GB2312" w:cs="仿宋_GB2312"/>
          <w:sz w:val="32"/>
          <w:szCs w:val="32"/>
        </w:rPr>
        <w:t>。单价100万元（含）以上设备（不含车辆）0台（套）。</w:t>
      </w:r>
    </w:p>
    <w:p w14:paraId="2EEF09D8">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（四）预算绩效管理情况</w:t>
      </w:r>
    </w:p>
    <w:p w14:paraId="24E951C9">
      <w:pPr>
        <w:spacing w:line="600" w:lineRule="exact"/>
        <w:ind w:firstLine="640"/>
        <w:rPr>
          <w:rFonts w:eastAsia="仿宋_GB2312" w:cs="仿宋_GB2312"/>
          <w:sz w:val="32"/>
          <w:szCs w:val="32"/>
        </w:rPr>
      </w:pPr>
      <w:r>
        <w:rPr>
          <w:rFonts w:hint="eastAsia" w:eastAsia="仿宋_GB2312" w:cs="仿宋_GB2312"/>
          <w:sz w:val="32"/>
          <w:szCs w:val="32"/>
        </w:rPr>
        <w:t>根据预算绩效管理要求，</w:t>
      </w:r>
      <w:r>
        <w:rPr>
          <w:rFonts w:eastAsia="仿宋_GB2312"/>
          <w:sz w:val="32"/>
          <w:szCs w:val="32"/>
        </w:rPr>
        <w:t>苏铁保护中心</w:t>
      </w:r>
      <w:r>
        <w:rPr>
          <w:rFonts w:hint="eastAsia" w:eastAsia="仿宋_GB2312" w:cs="仿宋_GB2312"/>
          <w:sz w:val="32"/>
          <w:szCs w:val="32"/>
        </w:rPr>
        <w:t>在2025年度，组织对苏保区矿山迹地植被恢复生态治理二期建设项目、四川攀枝花苏铁国家级自然保护区基础设施三期工程等11个项目涉及金额2343.86万元开展了事前绩效评估，对11个项目编制了绩效目标</w:t>
      </w:r>
      <w:r>
        <w:rPr>
          <w:rFonts w:hint="eastAsia" w:eastAsia="仿宋_GB2312" w:cs="仿宋_GB2312"/>
          <w:sz w:val="32"/>
          <w:szCs w:val="32"/>
          <w:lang w:eastAsia="zh-CN"/>
        </w:rPr>
        <w:t>，在</w:t>
      </w:r>
      <w:r>
        <w:rPr>
          <w:rFonts w:hint="eastAsia" w:eastAsia="仿宋_GB2312" w:cs="仿宋_GB2312"/>
          <w:sz w:val="32"/>
          <w:szCs w:val="32"/>
        </w:rPr>
        <w:t>预算执行过程中，选取11个项目开展绩效监控。</w:t>
      </w:r>
    </w:p>
    <w:p w14:paraId="6220A680">
      <w:pPr>
        <w:spacing w:line="600" w:lineRule="exact"/>
        <w:ind w:firstLine="640"/>
        <w:rPr>
          <w:rFonts w:eastAsia="仿宋_GB2312" w:cs="仿宋_GB2312"/>
          <w:sz w:val="32"/>
          <w:szCs w:val="32"/>
        </w:rPr>
      </w:pPr>
    </w:p>
    <w:p w14:paraId="45F61E1A">
      <w:pPr>
        <w:pStyle w:val="2"/>
      </w:pPr>
    </w:p>
    <w:p w14:paraId="4F677393">
      <w:pPr>
        <w:pStyle w:val="3"/>
        <w:ind w:left="420"/>
      </w:pPr>
    </w:p>
    <w:p w14:paraId="090127BF"/>
    <w:p w14:paraId="5BF54E05">
      <w:pPr>
        <w:pStyle w:val="2"/>
      </w:pPr>
    </w:p>
    <w:p w14:paraId="1B67FCD6">
      <w:pPr>
        <w:pStyle w:val="3"/>
        <w:ind w:left="420"/>
      </w:pPr>
    </w:p>
    <w:p w14:paraId="54BB00EE">
      <w:pPr>
        <w:rPr>
          <w:rFonts w:hint="eastAsia" w:eastAsia="黑体"/>
          <w:sz w:val="44"/>
          <w:szCs w:val="44"/>
        </w:rPr>
      </w:pPr>
      <w:bookmarkStart w:id="43" w:name="_Toc15377225"/>
      <w:bookmarkStart w:id="44" w:name="_Toc15396613"/>
      <w:r>
        <w:rPr>
          <w:rFonts w:hint="eastAsia" w:eastAsia="黑体"/>
          <w:sz w:val="44"/>
          <w:szCs w:val="44"/>
        </w:rPr>
        <w:br w:type="page"/>
      </w:r>
    </w:p>
    <w:p w14:paraId="2D9C0210">
      <w:pPr>
        <w:spacing w:line="600" w:lineRule="exact"/>
        <w:jc w:val="center"/>
        <w:outlineLvl w:val="0"/>
        <w:rPr>
          <w:rFonts w:eastAsia="黑体"/>
          <w:sz w:val="44"/>
          <w:szCs w:val="44"/>
        </w:rPr>
      </w:pPr>
      <w:r>
        <w:rPr>
          <w:rFonts w:hint="eastAsia" w:eastAsia="黑体"/>
          <w:sz w:val="44"/>
          <w:szCs w:val="44"/>
        </w:rPr>
        <w:t>第三部分  名词解释</w:t>
      </w:r>
      <w:bookmarkEnd w:id="43"/>
      <w:bookmarkEnd w:id="44"/>
    </w:p>
    <w:p w14:paraId="6C7E87B0">
      <w:pPr>
        <w:spacing w:line="600" w:lineRule="exact"/>
        <w:jc w:val="left"/>
        <w:rPr>
          <w:b/>
          <w:sz w:val="44"/>
          <w:szCs w:val="44"/>
        </w:rPr>
      </w:pPr>
    </w:p>
    <w:p w14:paraId="07BF88B9">
      <w:pPr>
        <w:spacing w:line="600" w:lineRule="exact"/>
        <w:ind w:firstLine="640"/>
        <w:rPr>
          <w:rFonts w:eastAsia="仿宋_GB2312" w:cs="仿宋_GB2312"/>
          <w:sz w:val="32"/>
          <w:szCs w:val="32"/>
        </w:rPr>
      </w:pPr>
      <w:r>
        <w:rPr>
          <w:rFonts w:hint="eastAsia" w:eastAsia="仿宋_GB2312" w:cs="仿宋_GB2312"/>
          <w:sz w:val="32"/>
          <w:szCs w:val="32"/>
        </w:rPr>
        <w:t>1.财政拨款收入：指单位从同级财政部门取得的财政预算资金。</w:t>
      </w:r>
    </w:p>
    <w:p w14:paraId="18093D39">
      <w:pPr>
        <w:spacing w:line="600" w:lineRule="exact"/>
        <w:ind w:firstLine="640"/>
        <w:rPr>
          <w:rFonts w:eastAsia="仿宋_GB2312" w:cs="仿宋_GB2312"/>
          <w:sz w:val="32"/>
          <w:szCs w:val="32"/>
        </w:rPr>
      </w:pPr>
      <w:r>
        <w:rPr>
          <w:rFonts w:hint="eastAsia" w:eastAsia="仿宋_GB2312" w:cs="仿宋_GB2312"/>
          <w:sz w:val="32"/>
          <w:szCs w:val="32"/>
        </w:rPr>
        <w:t>2.事业收入：指事业单位开展专业业务活动及辅助活动取得的收入。</w:t>
      </w:r>
    </w:p>
    <w:p w14:paraId="57C98CAB">
      <w:pPr>
        <w:spacing w:line="600" w:lineRule="exact"/>
        <w:ind w:firstLine="640"/>
        <w:rPr>
          <w:rFonts w:eastAsia="仿宋_GB2312" w:cs="仿宋_GB2312"/>
          <w:sz w:val="32"/>
          <w:szCs w:val="32"/>
        </w:rPr>
      </w:pPr>
      <w:r>
        <w:rPr>
          <w:rFonts w:hint="eastAsia" w:eastAsia="仿宋_GB2312" w:cs="仿宋_GB2312"/>
          <w:sz w:val="32"/>
          <w:szCs w:val="32"/>
        </w:rPr>
        <w:t>3.经营收入：指事业单位在专业业务活动及其辅助活动之外开展非独立核算经营活动取得的收入。</w:t>
      </w:r>
    </w:p>
    <w:p w14:paraId="465AAB79">
      <w:pPr>
        <w:spacing w:line="600" w:lineRule="exact"/>
        <w:ind w:firstLine="640"/>
        <w:rPr>
          <w:rFonts w:eastAsia="仿宋_GB2312" w:cs="仿宋_GB2312"/>
          <w:sz w:val="32"/>
          <w:szCs w:val="32"/>
        </w:rPr>
      </w:pPr>
      <w:r>
        <w:rPr>
          <w:rFonts w:hint="eastAsia" w:eastAsia="仿宋_GB2312" w:cs="仿宋_GB2312"/>
          <w:sz w:val="32"/>
          <w:szCs w:val="32"/>
        </w:rPr>
        <w:t>4.其他收入：指单位取得的除上述收入以外的各项收入。</w:t>
      </w:r>
    </w:p>
    <w:p w14:paraId="09277970">
      <w:pPr>
        <w:spacing w:line="600" w:lineRule="exact"/>
        <w:ind w:firstLine="640"/>
        <w:rPr>
          <w:rFonts w:eastAsia="仿宋_GB2312" w:cs="仿宋_GB2312"/>
          <w:sz w:val="32"/>
          <w:szCs w:val="32"/>
        </w:rPr>
      </w:pPr>
      <w:r>
        <w:rPr>
          <w:rFonts w:hint="eastAsia" w:eastAsia="仿宋_GB2312" w:cs="仿宋_GB2312"/>
          <w:sz w:val="32"/>
          <w:szCs w:val="32"/>
        </w:rPr>
        <w:t xml:space="preserve">5.使用非财政拨款结余（含专用结余）：指事业单位使用以前年度积累的非财政拨款结余弥补当年收支差额的金额。 </w:t>
      </w:r>
    </w:p>
    <w:p w14:paraId="0BDC338A">
      <w:pPr>
        <w:spacing w:line="600" w:lineRule="exact"/>
        <w:ind w:firstLine="640"/>
        <w:rPr>
          <w:rFonts w:eastAsia="仿宋_GB2312" w:cs="仿宋_GB2312"/>
          <w:sz w:val="32"/>
          <w:szCs w:val="32"/>
        </w:rPr>
      </w:pPr>
      <w:r>
        <w:rPr>
          <w:rFonts w:hint="eastAsia" w:eastAsia="仿宋_GB2312" w:cs="仿宋_GB2312"/>
          <w:sz w:val="32"/>
          <w:szCs w:val="32"/>
        </w:rPr>
        <w:t xml:space="preserve">6.年初结转和结余：指以前年度尚未完成、结转到本年按有关规定继续使用的资金。 </w:t>
      </w:r>
    </w:p>
    <w:p w14:paraId="4B477071">
      <w:pPr>
        <w:spacing w:line="600" w:lineRule="exact"/>
        <w:ind w:firstLine="640"/>
        <w:rPr>
          <w:rFonts w:eastAsia="仿宋_GB2312" w:cs="仿宋_GB2312"/>
          <w:sz w:val="32"/>
          <w:szCs w:val="32"/>
        </w:rPr>
      </w:pPr>
      <w:r>
        <w:rPr>
          <w:rFonts w:hint="eastAsia" w:eastAsia="仿宋_GB2312" w:cs="仿宋_GB2312"/>
          <w:sz w:val="32"/>
          <w:szCs w:val="32"/>
        </w:rPr>
        <w:t>7.结余分配：指事业单位按照会计制度规定缴纳的所得税、提取的专用结余以及转入非财政拨款结余的金额等。</w:t>
      </w:r>
    </w:p>
    <w:p w14:paraId="7004482E">
      <w:pPr>
        <w:spacing w:line="600" w:lineRule="exact"/>
        <w:ind w:firstLine="640"/>
        <w:rPr>
          <w:rFonts w:eastAsia="仿宋_GB2312" w:cs="仿宋_GB2312"/>
          <w:sz w:val="32"/>
          <w:szCs w:val="32"/>
        </w:rPr>
      </w:pPr>
      <w:r>
        <w:rPr>
          <w:rFonts w:hint="eastAsia" w:eastAsia="仿宋_GB2312" w:cs="仿宋_GB2312"/>
          <w:sz w:val="32"/>
          <w:szCs w:val="32"/>
        </w:rPr>
        <w:t>8.年末结转和结余：指单位按有关规定结转到下年或以后年度继续使用的资金。</w:t>
      </w:r>
    </w:p>
    <w:p w14:paraId="04A0B611">
      <w:pPr>
        <w:spacing w:line="600" w:lineRule="exact"/>
        <w:ind w:firstLine="640"/>
        <w:rPr>
          <w:rFonts w:eastAsia="仿宋_GB2312" w:cs="仿宋_GB2312"/>
          <w:sz w:val="32"/>
          <w:szCs w:val="32"/>
        </w:rPr>
      </w:pPr>
      <w:r>
        <w:rPr>
          <w:rFonts w:hint="eastAsia" w:eastAsia="仿宋_GB2312" w:cs="仿宋_GB2312"/>
          <w:sz w:val="32"/>
          <w:szCs w:val="32"/>
        </w:rPr>
        <w:t>9.社会保障和就业（类）人力资源和社会保障管理事务（款）其他人力资源和社会保障管理事务支出（项）：反映其他用于人力资源和社会保障管理事务方面的支出。</w:t>
      </w:r>
    </w:p>
    <w:p w14:paraId="02344316">
      <w:pPr>
        <w:spacing w:line="600" w:lineRule="exact"/>
        <w:ind w:firstLine="640"/>
        <w:rPr>
          <w:rFonts w:eastAsia="仿宋_GB2312" w:cs="仿宋_GB2312"/>
          <w:sz w:val="32"/>
          <w:szCs w:val="32"/>
        </w:rPr>
      </w:pPr>
      <w:r>
        <w:rPr>
          <w:rFonts w:hint="eastAsia" w:eastAsia="仿宋_GB2312" w:cs="仿宋_GB2312"/>
          <w:sz w:val="32"/>
          <w:szCs w:val="32"/>
        </w:rPr>
        <w:t>10.社会保障和就业（类）行政事业单位养老支出（款）事业单位离退休（项）：</w:t>
      </w:r>
      <w:r>
        <w:rPr>
          <w:rFonts w:eastAsia="仿宋_GB2312"/>
          <w:sz w:val="32"/>
          <w:szCs w:val="32"/>
        </w:rPr>
        <w:t>反映事业单位开支的离退休经费</w:t>
      </w:r>
      <w:r>
        <w:rPr>
          <w:rFonts w:hint="eastAsia" w:eastAsia="仿宋_GB2312" w:cs="仿宋_GB2312"/>
          <w:sz w:val="32"/>
          <w:szCs w:val="32"/>
        </w:rPr>
        <w:t>。</w:t>
      </w:r>
    </w:p>
    <w:p w14:paraId="37A68765">
      <w:pPr>
        <w:spacing w:line="600" w:lineRule="exact"/>
        <w:ind w:firstLine="640"/>
        <w:rPr>
          <w:rFonts w:eastAsia="仿宋_GB2312" w:cs="仿宋_GB2312"/>
          <w:sz w:val="32"/>
          <w:szCs w:val="32"/>
        </w:rPr>
      </w:pPr>
      <w:r>
        <w:rPr>
          <w:rFonts w:hint="eastAsia" w:eastAsia="仿宋_GB2312" w:cs="仿宋_GB2312"/>
          <w:sz w:val="32"/>
          <w:szCs w:val="32"/>
        </w:rPr>
        <w:t>11.社会保障和就业（类）行政事业单位养老支出（款）机关事业单位基本养老保险缴费（项）：</w:t>
      </w:r>
      <w:bookmarkStart w:id="45" w:name="OLE_LINK70"/>
      <w:bookmarkStart w:id="46" w:name="OLE_LINK69"/>
      <w:r>
        <w:rPr>
          <w:rFonts w:hint="eastAsia" w:eastAsia="仿宋_GB2312"/>
          <w:sz w:val="32"/>
          <w:szCs w:val="32"/>
        </w:rPr>
        <w:t>反映机关事业单位实施养老保险制度由单位实际缴纳的基本养老保险费支出</w:t>
      </w:r>
      <w:bookmarkEnd w:id="45"/>
      <w:bookmarkEnd w:id="46"/>
      <w:r>
        <w:rPr>
          <w:rFonts w:hint="eastAsia" w:eastAsia="仿宋_GB2312" w:cs="仿宋_GB2312"/>
          <w:sz w:val="32"/>
          <w:szCs w:val="32"/>
        </w:rPr>
        <w:t>。</w:t>
      </w:r>
    </w:p>
    <w:p w14:paraId="5F215267">
      <w:pPr>
        <w:spacing w:line="600" w:lineRule="exact"/>
        <w:ind w:firstLine="640"/>
        <w:rPr>
          <w:rFonts w:eastAsia="仿宋_GB2312" w:cs="仿宋_GB2312"/>
          <w:sz w:val="32"/>
          <w:szCs w:val="32"/>
        </w:rPr>
      </w:pPr>
      <w:r>
        <w:rPr>
          <w:rFonts w:hint="eastAsia" w:eastAsia="仿宋_GB2312" w:cs="仿宋_GB2312"/>
          <w:sz w:val="32"/>
          <w:szCs w:val="32"/>
        </w:rPr>
        <w:t>12.社会保障和就业（类）行政事业单位养老支出（款）机关事业单位职业年金缴费（项）：</w:t>
      </w:r>
      <w:r>
        <w:rPr>
          <w:rFonts w:hint="eastAsia" w:eastAsia="仿宋_GB2312"/>
          <w:sz w:val="32"/>
          <w:szCs w:val="32"/>
        </w:rPr>
        <w:t>反映机关事业单位实施养老保险制度由单位实际缴纳的职业年金支出</w:t>
      </w:r>
      <w:r>
        <w:rPr>
          <w:rFonts w:hint="eastAsia" w:eastAsia="仿宋_GB2312" w:cs="仿宋_GB2312"/>
          <w:sz w:val="32"/>
          <w:szCs w:val="32"/>
        </w:rPr>
        <w:t xml:space="preserve">。 </w:t>
      </w:r>
    </w:p>
    <w:p w14:paraId="1A3F20D8">
      <w:pPr>
        <w:spacing w:line="600" w:lineRule="exact"/>
        <w:ind w:firstLine="640"/>
        <w:rPr>
          <w:rFonts w:eastAsia="仿宋_GB2312" w:cs="仿宋_GB2312"/>
          <w:sz w:val="32"/>
          <w:szCs w:val="32"/>
        </w:rPr>
      </w:pPr>
      <w:r>
        <w:rPr>
          <w:rFonts w:hint="eastAsia" w:eastAsia="仿宋_GB2312" w:cs="仿宋_GB2312"/>
          <w:sz w:val="32"/>
          <w:szCs w:val="32"/>
        </w:rPr>
        <w:t>13.卫生健康（类）行政事业单位医疗（款）事业单位医疗（项）：反映财政部门安排的事业单位基本医疗保险缴费经费。</w:t>
      </w:r>
    </w:p>
    <w:p w14:paraId="3A7DE9B8">
      <w:pPr>
        <w:spacing w:line="600" w:lineRule="exact"/>
        <w:ind w:firstLine="640"/>
        <w:rPr>
          <w:rFonts w:eastAsia="仿宋_GB2312" w:cs="仿宋_GB2312"/>
          <w:sz w:val="32"/>
          <w:szCs w:val="32"/>
        </w:rPr>
      </w:pPr>
      <w:r>
        <w:rPr>
          <w:rFonts w:hint="eastAsia" w:eastAsia="仿宋_GB2312" w:cs="仿宋_GB2312"/>
          <w:sz w:val="32"/>
          <w:szCs w:val="32"/>
        </w:rPr>
        <w:t>14.卫生健康（类）行政事业单位医疗（款）公务员医疗补助（项）：反映财政部门安排的公务员医疗补助经费。</w:t>
      </w:r>
    </w:p>
    <w:p w14:paraId="46902D92">
      <w:pPr>
        <w:spacing w:line="600" w:lineRule="exact"/>
        <w:ind w:firstLine="640"/>
        <w:rPr>
          <w:rFonts w:eastAsia="仿宋_GB2312" w:cs="仿宋_GB2312"/>
          <w:sz w:val="32"/>
          <w:szCs w:val="32"/>
        </w:rPr>
      </w:pPr>
      <w:r>
        <w:rPr>
          <w:rFonts w:hint="eastAsia" w:eastAsia="仿宋_GB2312" w:cs="仿宋_GB2312"/>
          <w:sz w:val="32"/>
          <w:szCs w:val="32"/>
        </w:rPr>
        <w:t>15.节能环保（类）自然生态保护（款）自然保护地（项）</w:t>
      </w:r>
      <w:r>
        <w:rPr>
          <w:rFonts w:hint="eastAsia" w:eastAsia="仿宋_GB2312" w:cs="仿宋_GB2312"/>
          <w:sz w:val="32"/>
          <w:szCs w:val="32"/>
          <w:lang w:eastAsia="zh-CN"/>
        </w:rPr>
        <w:t>：</w:t>
      </w:r>
      <w:r>
        <w:rPr>
          <w:rFonts w:hint="eastAsia"/>
        </w:rPr>
        <w:t xml:space="preserve"> </w:t>
      </w:r>
      <w:r>
        <w:rPr>
          <w:rFonts w:hint="eastAsia" w:eastAsia="仿宋_GB2312" w:cs="仿宋_GB2312"/>
          <w:sz w:val="32"/>
          <w:szCs w:val="32"/>
        </w:rPr>
        <w:t>反映用于自然保护区勘界、建设、调查、规划、监测、管护、生态保护补偿与修复、野生动植物保护、科研、设施设备维护、宣传及管理等方面的支出。</w:t>
      </w:r>
    </w:p>
    <w:p w14:paraId="1CCB319C">
      <w:pPr>
        <w:spacing w:line="600" w:lineRule="exact"/>
        <w:ind w:firstLine="640"/>
        <w:rPr>
          <w:rFonts w:eastAsia="仿宋_GB2312" w:cs="仿宋_GB2312"/>
          <w:sz w:val="32"/>
          <w:szCs w:val="32"/>
        </w:rPr>
      </w:pPr>
      <w:r>
        <w:rPr>
          <w:rFonts w:hint="eastAsia" w:eastAsia="仿宋_GB2312" w:cs="仿宋_GB2312"/>
          <w:sz w:val="32"/>
          <w:szCs w:val="32"/>
        </w:rPr>
        <w:t>16.节能环保（类）森林保护修复（款）森林管护（项）</w:t>
      </w:r>
      <w:r>
        <w:rPr>
          <w:rFonts w:hint="eastAsia" w:eastAsia="仿宋_GB2312" w:cs="仿宋_GB2312"/>
          <w:sz w:val="32"/>
          <w:szCs w:val="32"/>
          <w:lang w:eastAsia="zh-CN"/>
        </w:rPr>
        <w:t>：</w:t>
      </w:r>
      <w:r>
        <w:rPr>
          <w:rFonts w:hint="eastAsia" w:eastAsia="仿宋_GB2312" w:cs="仿宋_GB2312"/>
          <w:sz w:val="32"/>
          <w:szCs w:val="32"/>
        </w:rPr>
        <w:t xml:space="preserve"> 反映专项用于森林资源保护所发生的各项补助支出。</w:t>
      </w:r>
    </w:p>
    <w:p w14:paraId="6A6D5CE1">
      <w:pPr>
        <w:spacing w:line="600" w:lineRule="exact"/>
        <w:ind w:firstLine="640"/>
        <w:rPr>
          <w:rFonts w:eastAsia="仿宋_GB2312" w:cs="仿宋_GB2312"/>
          <w:sz w:val="32"/>
          <w:szCs w:val="32"/>
        </w:rPr>
      </w:pPr>
      <w:r>
        <w:rPr>
          <w:rFonts w:hint="eastAsia" w:eastAsia="仿宋_GB2312" w:cs="仿宋_GB2312"/>
          <w:sz w:val="32"/>
          <w:szCs w:val="32"/>
        </w:rPr>
        <w:t>17.节能环保（类）森林保护修复（款）其他森林保护修复支出（项）</w:t>
      </w:r>
      <w:r>
        <w:rPr>
          <w:rFonts w:hint="eastAsia" w:eastAsia="仿宋_GB2312" w:cs="仿宋_GB2312"/>
          <w:sz w:val="32"/>
          <w:szCs w:val="32"/>
          <w:lang w:eastAsia="zh-CN"/>
        </w:rPr>
        <w:t>：</w:t>
      </w:r>
      <w:r>
        <w:rPr>
          <w:rFonts w:hint="eastAsia" w:eastAsia="仿宋_GB2312" w:cs="仿宋_GB2312"/>
          <w:sz w:val="32"/>
          <w:szCs w:val="32"/>
        </w:rPr>
        <w:t xml:space="preserve"> 反映其他用于森林保护修复方面的支出。</w:t>
      </w:r>
    </w:p>
    <w:p w14:paraId="06DA33BB">
      <w:pPr>
        <w:spacing w:line="600" w:lineRule="exact"/>
        <w:ind w:firstLine="640"/>
        <w:rPr>
          <w:rFonts w:eastAsia="仿宋_GB2312" w:cs="仿宋_GB2312"/>
          <w:sz w:val="32"/>
          <w:szCs w:val="32"/>
        </w:rPr>
      </w:pPr>
      <w:r>
        <w:rPr>
          <w:rFonts w:hint="eastAsia" w:eastAsia="仿宋_GB2312" w:cs="仿宋_GB2312"/>
          <w:sz w:val="32"/>
          <w:szCs w:val="32"/>
        </w:rPr>
        <w:t>18.农林水（类）农业农村（款）事业运行（项）</w:t>
      </w:r>
      <w:r>
        <w:rPr>
          <w:rFonts w:hint="eastAsia" w:eastAsia="仿宋_GB2312" w:cs="仿宋_GB2312"/>
          <w:sz w:val="32"/>
          <w:szCs w:val="32"/>
          <w:lang w:eastAsia="zh-CN"/>
        </w:rPr>
        <w:t>：</w:t>
      </w:r>
      <w:r>
        <w:rPr>
          <w:rFonts w:hint="eastAsia" w:eastAsia="仿宋_GB2312" w:cs="仿宋_GB2312"/>
          <w:sz w:val="32"/>
          <w:szCs w:val="32"/>
        </w:rPr>
        <w:t xml:space="preserve"> </w:t>
      </w:r>
      <w:r>
        <w:rPr>
          <w:rFonts w:hint="eastAsia" w:eastAsia="仿宋_GB2312"/>
          <w:sz w:val="32"/>
          <w:szCs w:val="32"/>
        </w:rPr>
        <w:t>反映</w:t>
      </w:r>
      <w:r>
        <w:rPr>
          <w:rFonts w:eastAsia="仿宋_GB2312"/>
          <w:sz w:val="32"/>
          <w:szCs w:val="32"/>
        </w:rPr>
        <w:t>用于农业事业单位基本支出</w:t>
      </w:r>
      <w:r>
        <w:rPr>
          <w:rFonts w:hint="eastAsia" w:eastAsia="仿宋_GB2312"/>
          <w:sz w:val="32"/>
          <w:szCs w:val="32"/>
        </w:rPr>
        <w:t>，</w:t>
      </w:r>
      <w:r>
        <w:rPr>
          <w:rFonts w:eastAsia="仿宋_GB2312"/>
          <w:sz w:val="32"/>
          <w:szCs w:val="32"/>
        </w:rPr>
        <w:t>事业单位设施</w:t>
      </w:r>
      <w:r>
        <w:rPr>
          <w:rFonts w:hint="eastAsia" w:eastAsia="仿宋_GB2312"/>
          <w:sz w:val="32"/>
          <w:szCs w:val="32"/>
        </w:rPr>
        <w:t>、</w:t>
      </w:r>
      <w:r>
        <w:rPr>
          <w:rFonts w:eastAsia="仿宋_GB2312"/>
          <w:sz w:val="32"/>
          <w:szCs w:val="32"/>
        </w:rPr>
        <w:t>系统运行与资产维护等方面的支出</w:t>
      </w:r>
      <w:r>
        <w:rPr>
          <w:rFonts w:hint="eastAsia" w:eastAsia="仿宋_GB2312" w:cs="仿宋_GB2312"/>
          <w:sz w:val="32"/>
          <w:szCs w:val="32"/>
        </w:rPr>
        <w:t>。</w:t>
      </w:r>
    </w:p>
    <w:p w14:paraId="66657E4B">
      <w:pPr>
        <w:spacing w:line="600" w:lineRule="exact"/>
        <w:ind w:firstLine="640"/>
        <w:rPr>
          <w:rFonts w:eastAsia="仿宋_GB2312" w:cs="仿宋_GB2312"/>
          <w:sz w:val="32"/>
          <w:szCs w:val="32"/>
        </w:rPr>
      </w:pPr>
      <w:r>
        <w:rPr>
          <w:rFonts w:hint="eastAsia" w:eastAsia="仿宋_GB2312" w:cs="仿宋_GB2312"/>
          <w:sz w:val="32"/>
          <w:szCs w:val="32"/>
        </w:rPr>
        <w:t>19.农林水（类）林业和草原（款）事业机构（项）</w:t>
      </w:r>
      <w:r>
        <w:rPr>
          <w:rFonts w:hint="eastAsia" w:eastAsia="仿宋_GB2312" w:cs="仿宋_GB2312"/>
          <w:sz w:val="32"/>
          <w:szCs w:val="32"/>
          <w:lang w:eastAsia="zh-CN"/>
        </w:rPr>
        <w:t>：</w:t>
      </w:r>
      <w:r>
        <w:rPr>
          <w:rFonts w:hint="eastAsia" w:eastAsia="仿宋_GB2312" w:cs="仿宋_GB2312"/>
          <w:sz w:val="32"/>
          <w:szCs w:val="32"/>
        </w:rPr>
        <w:t>反映事业单位的基本支出。</w:t>
      </w:r>
    </w:p>
    <w:p w14:paraId="3ACA0EFB">
      <w:pPr>
        <w:spacing w:line="600" w:lineRule="exact"/>
        <w:ind w:firstLine="640"/>
        <w:rPr>
          <w:rFonts w:eastAsia="仿宋_GB2312" w:cs="仿宋_GB2312"/>
          <w:sz w:val="32"/>
          <w:szCs w:val="32"/>
        </w:rPr>
      </w:pPr>
      <w:r>
        <w:rPr>
          <w:rFonts w:hint="eastAsia" w:eastAsia="仿宋_GB2312" w:cs="仿宋_GB2312"/>
          <w:sz w:val="32"/>
          <w:szCs w:val="32"/>
        </w:rPr>
        <w:t>20.农林水（类）林业和草原（款）动植物保护（项）</w:t>
      </w:r>
      <w:r>
        <w:rPr>
          <w:rFonts w:hint="eastAsia" w:eastAsia="仿宋_GB2312" w:cs="仿宋_GB2312"/>
          <w:sz w:val="32"/>
          <w:szCs w:val="32"/>
          <w:lang w:eastAsia="zh-CN"/>
        </w:rPr>
        <w:t>：</w:t>
      </w:r>
      <w:r>
        <w:rPr>
          <w:rFonts w:hint="eastAsia" w:eastAsia="仿宋_GB2312" w:cs="仿宋_GB2312"/>
          <w:sz w:val="32"/>
          <w:szCs w:val="32"/>
        </w:rPr>
        <w:t>反映动植物资源生存环境调查、监测、保护管理、野外放（回）归、巡护、野生动物疫源疫病监测防控、濒危野生动植物拯救、繁育及进出口管理等方面的支出。</w:t>
      </w:r>
    </w:p>
    <w:p w14:paraId="15FB91F1">
      <w:pPr>
        <w:spacing w:line="600" w:lineRule="exact"/>
        <w:ind w:firstLine="640"/>
        <w:rPr>
          <w:rFonts w:eastAsia="仿宋_GB2312" w:cs="仿宋_GB2312"/>
          <w:sz w:val="32"/>
          <w:szCs w:val="32"/>
        </w:rPr>
      </w:pPr>
      <w:r>
        <w:rPr>
          <w:rFonts w:hint="eastAsia" w:eastAsia="仿宋_GB2312" w:cs="仿宋_GB2312"/>
          <w:sz w:val="32"/>
          <w:szCs w:val="32"/>
        </w:rPr>
        <w:t>21.农林水（类）林业和草原（款）其他林业和草原（项）</w:t>
      </w:r>
      <w:r>
        <w:rPr>
          <w:rFonts w:hint="eastAsia" w:eastAsia="仿宋_GB2312" w:cs="仿宋_GB2312"/>
          <w:sz w:val="32"/>
          <w:szCs w:val="32"/>
          <w:lang w:eastAsia="zh-CN"/>
        </w:rPr>
        <w:t>：</w:t>
      </w:r>
      <w:r>
        <w:rPr>
          <w:rFonts w:hint="eastAsia" w:eastAsia="仿宋_GB2312" w:cs="仿宋_GB2312"/>
          <w:sz w:val="32"/>
          <w:szCs w:val="32"/>
        </w:rPr>
        <w:t>反映其他用于林业和草原方面的支出。</w:t>
      </w:r>
    </w:p>
    <w:p w14:paraId="550E5BAD">
      <w:pPr>
        <w:spacing w:line="600" w:lineRule="exact"/>
        <w:ind w:firstLine="640"/>
        <w:rPr>
          <w:rFonts w:eastAsia="仿宋_GB2312" w:cs="仿宋_GB2312"/>
          <w:sz w:val="32"/>
          <w:szCs w:val="32"/>
        </w:rPr>
      </w:pPr>
      <w:r>
        <w:rPr>
          <w:rFonts w:hint="eastAsia" w:eastAsia="仿宋_GB2312" w:cs="仿宋_GB2312"/>
          <w:sz w:val="32"/>
          <w:szCs w:val="32"/>
        </w:rPr>
        <w:t>22.住房保障（类）住房改革（款）住房公积金（项）</w:t>
      </w:r>
      <w:r>
        <w:rPr>
          <w:rFonts w:hint="eastAsia" w:eastAsia="仿宋_GB2312" w:cs="仿宋_GB2312"/>
          <w:sz w:val="32"/>
          <w:szCs w:val="32"/>
          <w:lang w:eastAsia="zh-CN"/>
        </w:rPr>
        <w:t>：</w:t>
      </w:r>
      <w:r>
        <w:rPr>
          <w:rFonts w:hint="eastAsia" w:eastAsia="仿宋_GB2312" w:cs="仿宋_GB2312"/>
          <w:sz w:val="32"/>
          <w:szCs w:val="32"/>
        </w:rPr>
        <w:t>反映行政事业单位按规定比例为职工缴纳的住房公积金。</w:t>
      </w:r>
    </w:p>
    <w:p w14:paraId="0C2572D3">
      <w:pPr>
        <w:spacing w:line="600" w:lineRule="exact"/>
        <w:ind w:firstLine="640"/>
        <w:rPr>
          <w:rFonts w:eastAsia="仿宋_GB2312" w:cs="仿宋_GB2312"/>
          <w:sz w:val="32"/>
          <w:szCs w:val="32"/>
        </w:rPr>
      </w:pPr>
      <w:r>
        <w:rPr>
          <w:rFonts w:hint="eastAsia" w:eastAsia="仿宋_GB2312" w:cs="仿宋_GB2312"/>
          <w:sz w:val="32"/>
          <w:szCs w:val="32"/>
        </w:rPr>
        <w:t>23.其他（类）其他（款）其他（项）</w:t>
      </w:r>
      <w:r>
        <w:rPr>
          <w:rFonts w:hint="eastAsia" w:eastAsia="仿宋_GB2312" w:cs="仿宋_GB2312"/>
          <w:sz w:val="32"/>
          <w:szCs w:val="32"/>
          <w:lang w:eastAsia="zh-CN"/>
        </w:rPr>
        <w:t>：</w:t>
      </w:r>
      <w:r>
        <w:rPr>
          <w:rFonts w:hint="eastAsia" w:eastAsia="仿宋_GB2312" w:cs="仿宋_GB2312"/>
          <w:sz w:val="32"/>
          <w:szCs w:val="32"/>
        </w:rPr>
        <w:t>反映其他不能划分到具体功能科目中的支出项目。</w:t>
      </w:r>
    </w:p>
    <w:p w14:paraId="07829A7B">
      <w:pPr>
        <w:spacing w:line="600" w:lineRule="exact"/>
        <w:ind w:firstLine="640"/>
        <w:rPr>
          <w:rFonts w:eastAsia="仿宋_GB2312" w:cs="仿宋_GB2312"/>
          <w:sz w:val="32"/>
          <w:szCs w:val="32"/>
        </w:rPr>
      </w:pPr>
      <w:r>
        <w:rPr>
          <w:rFonts w:hint="eastAsia" w:eastAsia="仿宋_GB2312" w:cs="仿宋_GB2312"/>
          <w:sz w:val="32"/>
          <w:szCs w:val="32"/>
        </w:rPr>
        <w:t>24.基本支出：指为保障机构正常运转、完成日常工作任务而发生的人员支出和公用支出。</w:t>
      </w:r>
    </w:p>
    <w:p w14:paraId="0BD4A14C">
      <w:pPr>
        <w:spacing w:line="600" w:lineRule="exact"/>
        <w:ind w:firstLine="640"/>
        <w:rPr>
          <w:rFonts w:eastAsia="仿宋_GB2312" w:cs="仿宋_GB2312"/>
          <w:sz w:val="32"/>
          <w:szCs w:val="32"/>
        </w:rPr>
      </w:pPr>
      <w:r>
        <w:rPr>
          <w:rFonts w:hint="eastAsia" w:eastAsia="仿宋_GB2312" w:cs="仿宋_GB2312"/>
          <w:sz w:val="32"/>
          <w:szCs w:val="32"/>
        </w:rPr>
        <w:t xml:space="preserve">25.项目支出：指在基本支出之外为完成特定行政任务和事业发展目标所发生的支出。 </w:t>
      </w:r>
    </w:p>
    <w:p w14:paraId="5B87FBBF">
      <w:pPr>
        <w:spacing w:line="600" w:lineRule="exact"/>
        <w:ind w:firstLine="640"/>
        <w:rPr>
          <w:rFonts w:eastAsia="仿宋_GB2312" w:cs="仿宋_GB2312"/>
          <w:sz w:val="32"/>
          <w:szCs w:val="32"/>
        </w:rPr>
      </w:pPr>
      <w:r>
        <w:rPr>
          <w:rFonts w:hint="eastAsia" w:eastAsia="仿宋_GB2312" w:cs="仿宋_GB2312"/>
          <w:sz w:val="32"/>
          <w:szCs w:val="32"/>
        </w:rPr>
        <w:t>26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C80309A">
      <w:pPr>
        <w:spacing w:line="600" w:lineRule="exact"/>
        <w:jc w:val="center"/>
        <w:rPr>
          <w:rFonts w:eastAsia="黑体"/>
          <w:sz w:val="44"/>
          <w:szCs w:val="44"/>
        </w:rPr>
      </w:pPr>
      <w:bookmarkStart w:id="47" w:name="_Toc15377226"/>
      <w:r>
        <w:rPr>
          <w:rFonts w:hint="eastAsia" w:eastAsia="仿宋_GB2312" w:cs="仿宋_GB2312"/>
          <w:sz w:val="32"/>
          <w:szCs w:val="32"/>
        </w:rPr>
        <w:br w:type="page"/>
      </w:r>
      <w:bookmarkStart w:id="48" w:name="_Toc15396614"/>
      <w:r>
        <w:rPr>
          <w:rFonts w:hint="eastAsia" w:eastAsia="黑体"/>
          <w:sz w:val="44"/>
          <w:szCs w:val="44"/>
        </w:rPr>
        <w:t>第四部分  附件</w:t>
      </w:r>
      <w:bookmarkEnd w:id="48"/>
    </w:p>
    <w:p w14:paraId="149189DF">
      <w:pPr>
        <w:pStyle w:val="2"/>
      </w:pPr>
    </w:p>
    <w:p w14:paraId="7196CA1B">
      <w:pPr>
        <w:spacing w:line="600" w:lineRule="exact"/>
        <w:jc w:val="center"/>
        <w:outlineLvl w:val="0"/>
        <w:rPr>
          <w:rFonts w:ascii="黑体" w:hAnsi="黑体"/>
          <w:color w:val="FF0000"/>
          <w:sz w:val="44"/>
          <w:szCs w:val="44"/>
        </w:rPr>
      </w:pPr>
      <w:r>
        <w:rPr>
          <w:rFonts w:hint="eastAsia"/>
          <w:sz w:val="32"/>
          <w:szCs w:val="32"/>
        </w:rPr>
        <w:t>部门预算项目支出绩效自评表（2025年度）见附件3</w:t>
      </w:r>
    </w:p>
    <w:p w14:paraId="051B4503">
      <w:pPr>
        <w:pStyle w:val="2"/>
      </w:pPr>
    </w:p>
    <w:p w14:paraId="74172B95">
      <w:pPr>
        <w:widowControl/>
        <w:jc w:val="center"/>
        <w:rPr>
          <w:rFonts w:eastAsia="仿宋"/>
        </w:rPr>
      </w:pPr>
      <w:bookmarkStart w:id="49" w:name="_Toc15396618"/>
      <w:r>
        <w:rPr>
          <w:rFonts w:hint="eastAsia" w:eastAsia="黑体"/>
          <w:sz w:val="44"/>
          <w:szCs w:val="44"/>
        </w:rPr>
        <w:t>第</w:t>
      </w:r>
      <w:r>
        <w:rPr>
          <w:rStyle w:val="28"/>
          <w:rFonts w:hint="eastAsia" w:eastAsia="黑体"/>
          <w:b w:val="0"/>
        </w:rPr>
        <w:t>五部分 附表</w:t>
      </w:r>
      <w:bookmarkEnd w:id="47"/>
      <w:bookmarkEnd w:id="49"/>
      <w:bookmarkStart w:id="50" w:name="_Toc15396619"/>
    </w:p>
    <w:p w14:paraId="6F3AD5FE">
      <w:pPr>
        <w:pStyle w:val="14"/>
        <w:adjustRightInd w:val="0"/>
        <w:snapToGrid w:val="0"/>
        <w:spacing w:line="560" w:lineRule="exact"/>
        <w:jc w:val="left"/>
        <w:rPr>
          <w:rFonts w:eastAsia="仿宋_GB2312" w:cs="仿宋_GB2312"/>
          <w:sz w:val="32"/>
          <w:szCs w:val="32"/>
        </w:rPr>
      </w:pPr>
    </w:p>
    <w:p w14:paraId="334C2E63">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50"/>
    </w:p>
    <w:p w14:paraId="219304E5">
      <w:pPr>
        <w:pStyle w:val="14"/>
        <w:adjustRightInd w:val="0"/>
        <w:snapToGrid w:val="0"/>
        <w:spacing w:line="560" w:lineRule="exact"/>
        <w:jc w:val="left"/>
        <w:rPr>
          <w:rFonts w:eastAsia="仿宋_GB2312" w:cs="仿宋_GB2312"/>
          <w:sz w:val="32"/>
          <w:szCs w:val="32"/>
        </w:rPr>
      </w:pPr>
      <w:bookmarkStart w:id="51" w:name="_Toc15396620"/>
      <w:r>
        <w:rPr>
          <w:rFonts w:hint="eastAsia" w:eastAsia="仿宋_GB2312" w:cs="仿宋_GB2312"/>
          <w:sz w:val="32"/>
          <w:szCs w:val="32"/>
        </w:rPr>
        <w:t>二、收入决算表</w:t>
      </w:r>
      <w:bookmarkEnd w:id="51"/>
    </w:p>
    <w:p w14:paraId="549813AB">
      <w:pPr>
        <w:pStyle w:val="14"/>
        <w:adjustRightInd w:val="0"/>
        <w:snapToGrid w:val="0"/>
        <w:spacing w:line="560" w:lineRule="exact"/>
        <w:jc w:val="left"/>
        <w:rPr>
          <w:rFonts w:eastAsia="仿宋_GB2312" w:cs="仿宋_GB2312"/>
          <w:sz w:val="32"/>
          <w:szCs w:val="32"/>
        </w:rPr>
      </w:pPr>
      <w:bookmarkStart w:id="52" w:name="_Toc15396621"/>
      <w:r>
        <w:rPr>
          <w:rFonts w:hint="eastAsia" w:eastAsia="仿宋_GB2312" w:cs="仿宋_GB2312"/>
          <w:sz w:val="32"/>
          <w:szCs w:val="32"/>
        </w:rPr>
        <w:t>三、支出决算表</w:t>
      </w:r>
      <w:bookmarkEnd w:id="52"/>
    </w:p>
    <w:p w14:paraId="7066BAC5">
      <w:pPr>
        <w:pStyle w:val="14"/>
        <w:adjustRightInd w:val="0"/>
        <w:snapToGrid w:val="0"/>
        <w:spacing w:line="560" w:lineRule="exact"/>
        <w:jc w:val="left"/>
        <w:rPr>
          <w:rFonts w:eastAsia="仿宋_GB2312" w:cs="仿宋_GB2312"/>
          <w:sz w:val="32"/>
          <w:szCs w:val="32"/>
        </w:rPr>
      </w:pPr>
      <w:bookmarkStart w:id="53" w:name="_Toc15396622"/>
      <w:r>
        <w:rPr>
          <w:rFonts w:hint="eastAsia" w:eastAsia="仿宋_GB2312" w:cs="仿宋_GB2312"/>
          <w:sz w:val="32"/>
          <w:szCs w:val="32"/>
        </w:rPr>
        <w:t>四、财政拨款收入支出决算总表</w:t>
      </w:r>
      <w:bookmarkEnd w:id="53"/>
    </w:p>
    <w:p w14:paraId="08486D1D">
      <w:pPr>
        <w:pStyle w:val="14"/>
        <w:adjustRightInd w:val="0"/>
        <w:snapToGrid w:val="0"/>
        <w:spacing w:line="560" w:lineRule="exact"/>
        <w:jc w:val="left"/>
        <w:rPr>
          <w:rFonts w:eastAsia="仿宋_GB2312" w:cs="仿宋_GB2312"/>
          <w:sz w:val="32"/>
          <w:szCs w:val="32"/>
        </w:rPr>
      </w:pPr>
      <w:bookmarkStart w:id="54" w:name="_Toc15396623"/>
      <w:r>
        <w:rPr>
          <w:rFonts w:hint="eastAsia" w:eastAsia="仿宋_GB2312" w:cs="仿宋_GB2312"/>
          <w:sz w:val="32"/>
          <w:szCs w:val="32"/>
        </w:rPr>
        <w:t>五、财政拨款支出决算明细表</w:t>
      </w:r>
      <w:bookmarkEnd w:id="54"/>
      <w:bookmarkStart w:id="55" w:name="_Toc15396624"/>
    </w:p>
    <w:p w14:paraId="6D1211A0">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55"/>
    </w:p>
    <w:p w14:paraId="51187113">
      <w:pPr>
        <w:pStyle w:val="14"/>
        <w:adjustRightInd w:val="0"/>
        <w:snapToGrid w:val="0"/>
        <w:spacing w:line="560" w:lineRule="exact"/>
        <w:jc w:val="left"/>
        <w:rPr>
          <w:rFonts w:eastAsia="仿宋_GB2312" w:cs="仿宋_GB2312"/>
          <w:sz w:val="32"/>
          <w:szCs w:val="32"/>
        </w:rPr>
      </w:pPr>
      <w:bookmarkStart w:id="56" w:name="_Toc15396625"/>
      <w:r>
        <w:rPr>
          <w:rFonts w:hint="eastAsia" w:eastAsia="仿宋_GB2312" w:cs="仿宋_GB2312"/>
          <w:sz w:val="32"/>
          <w:szCs w:val="32"/>
        </w:rPr>
        <w:t>七、一般公共预算财政拨款支出决算明细表</w:t>
      </w:r>
      <w:bookmarkEnd w:id="56"/>
    </w:p>
    <w:p w14:paraId="00FBF05A">
      <w:pPr>
        <w:pStyle w:val="14"/>
        <w:adjustRightInd w:val="0"/>
        <w:snapToGrid w:val="0"/>
        <w:spacing w:line="560" w:lineRule="exact"/>
        <w:jc w:val="left"/>
        <w:rPr>
          <w:rFonts w:eastAsia="仿宋_GB2312" w:cs="仿宋_GB2312"/>
          <w:sz w:val="32"/>
          <w:szCs w:val="32"/>
        </w:rPr>
      </w:pPr>
      <w:bookmarkStart w:id="57" w:name="_Toc15396626"/>
      <w:r>
        <w:rPr>
          <w:rFonts w:hint="eastAsia" w:eastAsia="仿宋_GB2312" w:cs="仿宋_GB2312"/>
          <w:sz w:val="32"/>
          <w:szCs w:val="32"/>
        </w:rPr>
        <w:t>八、一般公共预算财政拨款基本支出决算表</w:t>
      </w:r>
      <w:bookmarkEnd w:id="57"/>
    </w:p>
    <w:p w14:paraId="27337439">
      <w:pPr>
        <w:pStyle w:val="14"/>
        <w:adjustRightInd w:val="0"/>
        <w:snapToGrid w:val="0"/>
        <w:spacing w:line="560" w:lineRule="exact"/>
        <w:jc w:val="left"/>
        <w:rPr>
          <w:rFonts w:eastAsia="仿宋_GB2312" w:cs="仿宋_GB2312"/>
          <w:sz w:val="32"/>
          <w:szCs w:val="32"/>
        </w:rPr>
      </w:pPr>
      <w:bookmarkStart w:id="58" w:name="_Toc15396627"/>
      <w:r>
        <w:rPr>
          <w:rFonts w:hint="eastAsia" w:eastAsia="仿宋_GB2312" w:cs="仿宋_GB2312"/>
          <w:sz w:val="32"/>
          <w:szCs w:val="32"/>
        </w:rPr>
        <w:t>九、一般公共预算财政拨款项目支出决算表</w:t>
      </w:r>
      <w:bookmarkEnd w:id="58"/>
    </w:p>
    <w:p w14:paraId="699EBB24">
      <w:pPr>
        <w:pStyle w:val="14"/>
        <w:adjustRightInd w:val="0"/>
        <w:snapToGrid w:val="0"/>
        <w:spacing w:line="560" w:lineRule="exact"/>
        <w:jc w:val="left"/>
        <w:rPr>
          <w:rFonts w:eastAsia="仿宋_GB2312" w:cs="仿宋_GB2312"/>
          <w:sz w:val="32"/>
          <w:szCs w:val="32"/>
        </w:rPr>
      </w:pPr>
      <w:bookmarkStart w:id="59" w:name="_Toc15396628"/>
      <w:r>
        <w:rPr>
          <w:rFonts w:hint="eastAsia" w:eastAsia="仿宋_GB2312" w:cs="仿宋_GB2312"/>
          <w:sz w:val="32"/>
          <w:szCs w:val="32"/>
        </w:rPr>
        <w:t>十、</w:t>
      </w:r>
      <w:bookmarkEnd w:id="59"/>
      <w:r>
        <w:rPr>
          <w:rFonts w:hint="eastAsia" w:eastAsia="仿宋_GB2312" w:cs="仿宋_GB2312"/>
          <w:sz w:val="32"/>
          <w:szCs w:val="32"/>
        </w:rPr>
        <w:t>政府性基金预算财政拨款收入支出决算表</w:t>
      </w:r>
    </w:p>
    <w:p w14:paraId="459D91DF">
      <w:pPr>
        <w:pStyle w:val="14"/>
        <w:adjustRightInd w:val="0"/>
        <w:snapToGrid w:val="0"/>
        <w:spacing w:line="560" w:lineRule="exact"/>
        <w:jc w:val="left"/>
        <w:rPr>
          <w:rFonts w:eastAsia="仿宋_GB2312" w:cs="仿宋_GB2312"/>
          <w:sz w:val="32"/>
          <w:szCs w:val="32"/>
        </w:rPr>
      </w:pPr>
      <w:bookmarkStart w:id="60" w:name="_Toc15396629"/>
      <w:r>
        <w:rPr>
          <w:rFonts w:hint="eastAsia" w:eastAsia="仿宋_GB2312" w:cs="仿宋_GB2312"/>
          <w:sz w:val="32"/>
          <w:szCs w:val="32"/>
        </w:rPr>
        <w:t>十一、</w:t>
      </w:r>
      <w:bookmarkEnd w:id="60"/>
      <w:r>
        <w:rPr>
          <w:rFonts w:hint="eastAsia" w:eastAsia="仿宋_GB2312" w:cs="仿宋_GB2312"/>
          <w:sz w:val="32"/>
          <w:szCs w:val="32"/>
        </w:rPr>
        <w:t>国有资本经营预算财政拨款收入支出决算表</w:t>
      </w:r>
    </w:p>
    <w:p w14:paraId="5D06CCC5">
      <w:pPr>
        <w:pStyle w:val="14"/>
        <w:adjustRightInd w:val="0"/>
        <w:snapToGrid w:val="0"/>
        <w:spacing w:line="560" w:lineRule="exact"/>
        <w:jc w:val="left"/>
        <w:rPr>
          <w:rFonts w:eastAsia="仿宋_GB2312" w:cs="仿宋_GB2312"/>
          <w:sz w:val="32"/>
          <w:szCs w:val="32"/>
        </w:rPr>
      </w:pPr>
      <w:bookmarkStart w:id="61" w:name="_Toc15396630"/>
      <w:r>
        <w:rPr>
          <w:rFonts w:hint="eastAsia" w:eastAsia="仿宋_GB2312" w:cs="仿宋_GB2312"/>
          <w:sz w:val="32"/>
          <w:szCs w:val="32"/>
        </w:rPr>
        <w:t>十二、</w:t>
      </w:r>
      <w:bookmarkEnd w:id="61"/>
      <w:r>
        <w:rPr>
          <w:rFonts w:hint="eastAsia" w:eastAsia="仿宋_GB2312" w:cs="仿宋_GB2312"/>
          <w:sz w:val="32"/>
          <w:szCs w:val="32"/>
        </w:rPr>
        <w:t>国有资本经营预算财政拨款支出决算表</w:t>
      </w:r>
    </w:p>
    <w:p w14:paraId="4F66756F">
      <w:pPr>
        <w:pStyle w:val="14"/>
        <w:adjustRightInd w:val="0"/>
        <w:snapToGrid w:val="0"/>
        <w:spacing w:line="560" w:lineRule="exact"/>
        <w:jc w:val="left"/>
        <w:rPr>
          <w:rFonts w:eastAsia="仿宋_GB2312" w:cs="仿宋_GB2312"/>
          <w:sz w:val="32"/>
          <w:szCs w:val="32"/>
        </w:rPr>
      </w:pPr>
      <w:bookmarkStart w:id="62" w:name="_Toc15396631"/>
      <w:r>
        <w:rPr>
          <w:rFonts w:hint="eastAsia" w:eastAsia="仿宋_GB2312" w:cs="仿宋_GB2312"/>
          <w:sz w:val="32"/>
          <w:szCs w:val="32"/>
        </w:rPr>
        <w:t>十三、</w:t>
      </w:r>
      <w:bookmarkEnd w:id="62"/>
      <w:r>
        <w:rPr>
          <w:rFonts w:hint="eastAsia" w:eastAsia="仿宋_GB2312" w:cs="仿宋_GB2312"/>
          <w:sz w:val="32"/>
          <w:szCs w:val="32"/>
        </w:rPr>
        <w:t>财政拨款“三公”经费支出决算表</w:t>
      </w:r>
    </w:p>
    <w:p w14:paraId="4E7E8AB5"/>
    <w:sectPr>
      <w:footerReference r:id="rId9" w:type="default"/>
      <w:footerReference r:id="rId10" w:type="even"/>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8CD5A">
    <w:pPr>
      <w:pStyle w:val="11"/>
      <w:jc w:val="center"/>
    </w:pPr>
  </w:p>
  <w:p w14:paraId="73DA2689">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20DCC">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4A9D0">
    <w:pPr>
      <w:pStyle w:val="11"/>
      <w:jc w:val="center"/>
    </w:pPr>
  </w:p>
  <w:p w14:paraId="54F6886A">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1EEE2">
    <w:pPr>
      <w:pStyle w:val="11"/>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0C2C2A">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120C2C2A">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D263D">
    <w:pPr>
      <w:pStyle w:val="11"/>
      <w:jc w:val="cente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C08C28">
                          <w:pPr>
                            <w:pStyle w:val="11"/>
                            <w:rPr>
                              <w:rFonts w:ascii="宋体" w:hAnsi="宋体"/>
                              <w:sz w:val="21"/>
                              <w:szCs w:val="21"/>
                            </w:rPr>
                          </w:pP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Pr>
                              <w:rFonts w:ascii="宋体" w:hAnsi="宋体"/>
                              <w:sz w:val="21"/>
                              <w:szCs w:val="21"/>
                            </w:rPr>
                            <w:t>- 11 -</w:t>
                          </w:r>
                          <w:r>
                            <w:rPr>
                              <w:rFonts w:ascii="宋体" w:hAnsi="宋体"/>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34C08C28">
                    <w:pPr>
                      <w:pStyle w:val="11"/>
                      <w:rPr>
                        <w:rFonts w:ascii="宋体" w:hAnsi="宋体"/>
                        <w:sz w:val="21"/>
                        <w:szCs w:val="21"/>
                      </w:rPr>
                    </w:pP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Pr>
                        <w:rFonts w:ascii="宋体" w:hAnsi="宋体"/>
                        <w:sz w:val="21"/>
                        <w:szCs w:val="21"/>
                      </w:rPr>
                      <w:t>- 11 -</w:t>
                    </w:r>
                    <w:r>
                      <w:rPr>
                        <w:rFonts w:ascii="宋体" w:hAnsi="宋体"/>
                        <w:sz w:val="21"/>
                        <w:szCs w:val="21"/>
                      </w:rPr>
                      <w:fldChar w:fldCharType="end"/>
                    </w:r>
                  </w:p>
                </w:txbxContent>
              </v:textbox>
            </v:shape>
          </w:pict>
        </mc:Fallback>
      </mc:AlternateContent>
    </w:r>
  </w:p>
  <w:p w14:paraId="1C3FB280">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F53B1">
    <w:pPr>
      <w:pStyle w:val="11"/>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45361A">
                          <w:pPr>
                            <w:pStyle w:val="11"/>
                            <w:rPr>
                              <w:rFonts w:ascii="宋体" w:hAnsi="宋体"/>
                              <w:sz w:val="21"/>
                              <w:szCs w:val="21"/>
                            </w:rPr>
                          </w:pP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Pr>
                              <w:rFonts w:ascii="宋体" w:hAnsi="宋体"/>
                              <w:sz w:val="21"/>
                              <w:szCs w:val="21"/>
                            </w:rPr>
                            <w:t>- 12 -</w:t>
                          </w:r>
                          <w:r>
                            <w:rPr>
                              <w:rFonts w:ascii="宋体" w:hAnsi="宋体"/>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4245361A">
                    <w:pPr>
                      <w:pStyle w:val="11"/>
                      <w:rPr>
                        <w:rFonts w:ascii="宋体" w:hAnsi="宋体"/>
                        <w:sz w:val="21"/>
                        <w:szCs w:val="21"/>
                      </w:rPr>
                    </w:pP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Pr>
                        <w:rFonts w:ascii="宋体" w:hAnsi="宋体"/>
                        <w:sz w:val="21"/>
                        <w:szCs w:val="21"/>
                      </w:rPr>
                      <w:t>- 12 -</w:t>
                    </w:r>
                    <w:r>
                      <w:rPr>
                        <w:rFonts w:ascii="宋体" w:hAnsi="宋体"/>
                        <w:sz w:val="21"/>
                        <w:szCs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7D7E4">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DC511">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4D173A"/>
    <w:multiLevelType w:val="multilevel"/>
    <w:tmpl w:val="174D173A"/>
    <w:lvl w:ilvl="0" w:tentative="0">
      <w:start w:val="1"/>
      <w:numFmt w:val="japaneseCounting"/>
      <w:lvlText w:val="%1、"/>
      <w:lvlJc w:val="left"/>
      <w:pPr>
        <w:ind w:left="660" w:hanging="6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3468D"/>
    <w:rsid w:val="000468DB"/>
    <w:rsid w:val="0006487A"/>
    <w:rsid w:val="00065F8F"/>
    <w:rsid w:val="00070A43"/>
    <w:rsid w:val="000768F2"/>
    <w:rsid w:val="00081DBB"/>
    <w:rsid w:val="0009184B"/>
    <w:rsid w:val="00094236"/>
    <w:rsid w:val="0009593C"/>
    <w:rsid w:val="00097322"/>
    <w:rsid w:val="000A5F50"/>
    <w:rsid w:val="000A6A92"/>
    <w:rsid w:val="000B047F"/>
    <w:rsid w:val="000B3E51"/>
    <w:rsid w:val="000B5923"/>
    <w:rsid w:val="000B5A48"/>
    <w:rsid w:val="000B6FF3"/>
    <w:rsid w:val="000C3467"/>
    <w:rsid w:val="000C3CA6"/>
    <w:rsid w:val="000C719F"/>
    <w:rsid w:val="000D1267"/>
    <w:rsid w:val="000D1D50"/>
    <w:rsid w:val="000D490E"/>
    <w:rsid w:val="000D5782"/>
    <w:rsid w:val="000E6613"/>
    <w:rsid w:val="000E7119"/>
    <w:rsid w:val="00101585"/>
    <w:rsid w:val="00114E9B"/>
    <w:rsid w:val="00142216"/>
    <w:rsid w:val="00144D6A"/>
    <w:rsid w:val="0014729F"/>
    <w:rsid w:val="00157BAB"/>
    <w:rsid w:val="00161ADD"/>
    <w:rsid w:val="00163351"/>
    <w:rsid w:val="001654D1"/>
    <w:rsid w:val="00174518"/>
    <w:rsid w:val="00174B83"/>
    <w:rsid w:val="0018106D"/>
    <w:rsid w:val="001877A7"/>
    <w:rsid w:val="00191536"/>
    <w:rsid w:val="00196687"/>
    <w:rsid w:val="001A284E"/>
    <w:rsid w:val="001A378E"/>
    <w:rsid w:val="001A614A"/>
    <w:rsid w:val="001A7CF2"/>
    <w:rsid w:val="001C0848"/>
    <w:rsid w:val="001C0962"/>
    <w:rsid w:val="001D7531"/>
    <w:rsid w:val="001E737D"/>
    <w:rsid w:val="001F0592"/>
    <w:rsid w:val="001F7506"/>
    <w:rsid w:val="002006CD"/>
    <w:rsid w:val="00202B36"/>
    <w:rsid w:val="00204B7A"/>
    <w:rsid w:val="00204CDE"/>
    <w:rsid w:val="0021101A"/>
    <w:rsid w:val="00215809"/>
    <w:rsid w:val="00220536"/>
    <w:rsid w:val="002308CF"/>
    <w:rsid w:val="00235629"/>
    <w:rsid w:val="00256E61"/>
    <w:rsid w:val="00260C38"/>
    <w:rsid w:val="002616C0"/>
    <w:rsid w:val="00265372"/>
    <w:rsid w:val="002662AA"/>
    <w:rsid w:val="002764E6"/>
    <w:rsid w:val="00277E66"/>
    <w:rsid w:val="00280496"/>
    <w:rsid w:val="00294DC9"/>
    <w:rsid w:val="00295495"/>
    <w:rsid w:val="00296A07"/>
    <w:rsid w:val="002A31DE"/>
    <w:rsid w:val="002B2613"/>
    <w:rsid w:val="002B67D9"/>
    <w:rsid w:val="002C50BA"/>
    <w:rsid w:val="002D6D05"/>
    <w:rsid w:val="002F1818"/>
    <w:rsid w:val="002F567B"/>
    <w:rsid w:val="00313E39"/>
    <w:rsid w:val="003216A9"/>
    <w:rsid w:val="00335A74"/>
    <w:rsid w:val="003468EE"/>
    <w:rsid w:val="003536EF"/>
    <w:rsid w:val="0036561B"/>
    <w:rsid w:val="00366425"/>
    <w:rsid w:val="0037013F"/>
    <w:rsid w:val="00380C92"/>
    <w:rsid w:val="00381E2C"/>
    <w:rsid w:val="003A167B"/>
    <w:rsid w:val="003A484F"/>
    <w:rsid w:val="003A4883"/>
    <w:rsid w:val="003A7D81"/>
    <w:rsid w:val="003B0BE0"/>
    <w:rsid w:val="003B0C1B"/>
    <w:rsid w:val="003B688C"/>
    <w:rsid w:val="003C0291"/>
    <w:rsid w:val="003C1459"/>
    <w:rsid w:val="003C39AE"/>
    <w:rsid w:val="003C7B60"/>
    <w:rsid w:val="003D0C0F"/>
    <w:rsid w:val="003D1FB2"/>
    <w:rsid w:val="003D66DA"/>
    <w:rsid w:val="003E1310"/>
    <w:rsid w:val="003E6F55"/>
    <w:rsid w:val="00406254"/>
    <w:rsid w:val="004223DE"/>
    <w:rsid w:val="00434489"/>
    <w:rsid w:val="00437085"/>
    <w:rsid w:val="00443880"/>
    <w:rsid w:val="004464F4"/>
    <w:rsid w:val="004550C5"/>
    <w:rsid w:val="004701BA"/>
    <w:rsid w:val="00471401"/>
    <w:rsid w:val="00473F31"/>
    <w:rsid w:val="0048263A"/>
    <w:rsid w:val="00486A30"/>
    <w:rsid w:val="00487E5D"/>
    <w:rsid w:val="004A711F"/>
    <w:rsid w:val="004B199D"/>
    <w:rsid w:val="004B4690"/>
    <w:rsid w:val="004D241C"/>
    <w:rsid w:val="004E0A2D"/>
    <w:rsid w:val="004E206B"/>
    <w:rsid w:val="004E6DF7"/>
    <w:rsid w:val="004F0FBD"/>
    <w:rsid w:val="00505A47"/>
    <w:rsid w:val="00512FDA"/>
    <w:rsid w:val="00513BC6"/>
    <w:rsid w:val="00514FCA"/>
    <w:rsid w:val="005162F5"/>
    <w:rsid w:val="0051745F"/>
    <w:rsid w:val="00517955"/>
    <w:rsid w:val="00520DA0"/>
    <w:rsid w:val="00542F6B"/>
    <w:rsid w:val="00555047"/>
    <w:rsid w:val="005664BB"/>
    <w:rsid w:val="00566FFA"/>
    <w:rsid w:val="0057481D"/>
    <w:rsid w:val="00575C6A"/>
    <w:rsid w:val="0058486E"/>
    <w:rsid w:val="00585B33"/>
    <w:rsid w:val="0059014D"/>
    <w:rsid w:val="005B11D6"/>
    <w:rsid w:val="005B2D61"/>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3741F"/>
    <w:rsid w:val="006440E4"/>
    <w:rsid w:val="0066343B"/>
    <w:rsid w:val="00664777"/>
    <w:rsid w:val="006748A4"/>
    <w:rsid w:val="00681A31"/>
    <w:rsid w:val="00683E73"/>
    <w:rsid w:val="006A0A5D"/>
    <w:rsid w:val="006A3141"/>
    <w:rsid w:val="006A5E34"/>
    <w:rsid w:val="006B2422"/>
    <w:rsid w:val="006B2B9A"/>
    <w:rsid w:val="006C1937"/>
    <w:rsid w:val="006C2A3F"/>
    <w:rsid w:val="006C37FB"/>
    <w:rsid w:val="006E58BB"/>
    <w:rsid w:val="006F020C"/>
    <w:rsid w:val="007127B7"/>
    <w:rsid w:val="0071798E"/>
    <w:rsid w:val="0073372B"/>
    <w:rsid w:val="00733806"/>
    <w:rsid w:val="007416B6"/>
    <w:rsid w:val="00741F74"/>
    <w:rsid w:val="00746F48"/>
    <w:rsid w:val="00753DDC"/>
    <w:rsid w:val="0075404D"/>
    <w:rsid w:val="00754D31"/>
    <w:rsid w:val="00757D86"/>
    <w:rsid w:val="0076182A"/>
    <w:rsid w:val="0076233E"/>
    <w:rsid w:val="00767B7E"/>
    <w:rsid w:val="007770C3"/>
    <w:rsid w:val="00784D24"/>
    <w:rsid w:val="00785FBA"/>
    <w:rsid w:val="00786E4A"/>
    <w:rsid w:val="007875EB"/>
    <w:rsid w:val="0079426B"/>
    <w:rsid w:val="007B4652"/>
    <w:rsid w:val="007C1C05"/>
    <w:rsid w:val="007C6241"/>
    <w:rsid w:val="007D1682"/>
    <w:rsid w:val="007D312A"/>
    <w:rsid w:val="007D3F19"/>
    <w:rsid w:val="007E23B0"/>
    <w:rsid w:val="007E23E5"/>
    <w:rsid w:val="007F1991"/>
    <w:rsid w:val="007F2C2F"/>
    <w:rsid w:val="007F55FC"/>
    <w:rsid w:val="007F5665"/>
    <w:rsid w:val="00800112"/>
    <w:rsid w:val="00813348"/>
    <w:rsid w:val="008253BB"/>
    <w:rsid w:val="008356F1"/>
    <w:rsid w:val="0083706E"/>
    <w:rsid w:val="008408F6"/>
    <w:rsid w:val="008423A5"/>
    <w:rsid w:val="00850625"/>
    <w:rsid w:val="00853718"/>
    <w:rsid w:val="00855221"/>
    <w:rsid w:val="00860645"/>
    <w:rsid w:val="00871F71"/>
    <w:rsid w:val="00872FD8"/>
    <w:rsid w:val="0087350B"/>
    <w:rsid w:val="00885AF4"/>
    <w:rsid w:val="008939CD"/>
    <w:rsid w:val="008B6E95"/>
    <w:rsid w:val="008B768C"/>
    <w:rsid w:val="008C2A72"/>
    <w:rsid w:val="008C4DB1"/>
    <w:rsid w:val="008C4EAF"/>
    <w:rsid w:val="008C5176"/>
    <w:rsid w:val="008C6451"/>
    <w:rsid w:val="008C7FD0"/>
    <w:rsid w:val="008E1DE7"/>
    <w:rsid w:val="008E707C"/>
    <w:rsid w:val="00900B08"/>
    <w:rsid w:val="00902155"/>
    <w:rsid w:val="00902FA3"/>
    <w:rsid w:val="00911625"/>
    <w:rsid w:val="0091225A"/>
    <w:rsid w:val="00923564"/>
    <w:rsid w:val="0092392E"/>
    <w:rsid w:val="00927C4B"/>
    <w:rsid w:val="009315F9"/>
    <w:rsid w:val="00933499"/>
    <w:rsid w:val="00935C98"/>
    <w:rsid w:val="00946945"/>
    <w:rsid w:val="00950E98"/>
    <w:rsid w:val="00951248"/>
    <w:rsid w:val="0095152F"/>
    <w:rsid w:val="00954C49"/>
    <w:rsid w:val="00955E37"/>
    <w:rsid w:val="0097099F"/>
    <w:rsid w:val="00971997"/>
    <w:rsid w:val="00971FFC"/>
    <w:rsid w:val="0098660A"/>
    <w:rsid w:val="00987D95"/>
    <w:rsid w:val="009931C3"/>
    <w:rsid w:val="00993C57"/>
    <w:rsid w:val="00996C91"/>
    <w:rsid w:val="009A1776"/>
    <w:rsid w:val="009B2C43"/>
    <w:rsid w:val="009B448A"/>
    <w:rsid w:val="009B4EAE"/>
    <w:rsid w:val="009B7573"/>
    <w:rsid w:val="009C22F4"/>
    <w:rsid w:val="009C2A4B"/>
    <w:rsid w:val="009C2E98"/>
    <w:rsid w:val="009D2B7F"/>
    <w:rsid w:val="009D3447"/>
    <w:rsid w:val="009D4711"/>
    <w:rsid w:val="009D609A"/>
    <w:rsid w:val="009F1185"/>
    <w:rsid w:val="009F18CD"/>
    <w:rsid w:val="009F2A13"/>
    <w:rsid w:val="009F7527"/>
    <w:rsid w:val="00A04619"/>
    <w:rsid w:val="00A04EB0"/>
    <w:rsid w:val="00A06A83"/>
    <w:rsid w:val="00A13CC1"/>
    <w:rsid w:val="00A16847"/>
    <w:rsid w:val="00A237D8"/>
    <w:rsid w:val="00A246BB"/>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5EA2"/>
    <w:rsid w:val="00B060AE"/>
    <w:rsid w:val="00B10517"/>
    <w:rsid w:val="00B14E76"/>
    <w:rsid w:val="00B161B8"/>
    <w:rsid w:val="00B2048C"/>
    <w:rsid w:val="00B310B9"/>
    <w:rsid w:val="00B35F3F"/>
    <w:rsid w:val="00B36CBB"/>
    <w:rsid w:val="00B425E0"/>
    <w:rsid w:val="00B440AA"/>
    <w:rsid w:val="00B44B70"/>
    <w:rsid w:val="00B53C56"/>
    <w:rsid w:val="00B57DAF"/>
    <w:rsid w:val="00B73FF4"/>
    <w:rsid w:val="00B77EA6"/>
    <w:rsid w:val="00B81598"/>
    <w:rsid w:val="00B841F1"/>
    <w:rsid w:val="00B944D6"/>
    <w:rsid w:val="00BB4DF0"/>
    <w:rsid w:val="00BC289F"/>
    <w:rsid w:val="00BC2D50"/>
    <w:rsid w:val="00BC5361"/>
    <w:rsid w:val="00BC5460"/>
    <w:rsid w:val="00BC6B50"/>
    <w:rsid w:val="00BD0E25"/>
    <w:rsid w:val="00BF3431"/>
    <w:rsid w:val="00BF5BD6"/>
    <w:rsid w:val="00C03E31"/>
    <w:rsid w:val="00C1399D"/>
    <w:rsid w:val="00C17852"/>
    <w:rsid w:val="00C33E72"/>
    <w:rsid w:val="00C354B2"/>
    <w:rsid w:val="00C35554"/>
    <w:rsid w:val="00C42709"/>
    <w:rsid w:val="00C533CC"/>
    <w:rsid w:val="00C5751C"/>
    <w:rsid w:val="00C61BFC"/>
    <w:rsid w:val="00C62B85"/>
    <w:rsid w:val="00C65438"/>
    <w:rsid w:val="00C87FD8"/>
    <w:rsid w:val="00C91381"/>
    <w:rsid w:val="00C91CBB"/>
    <w:rsid w:val="00CA520D"/>
    <w:rsid w:val="00CB4E70"/>
    <w:rsid w:val="00CC09B6"/>
    <w:rsid w:val="00CC666F"/>
    <w:rsid w:val="00CD1E3F"/>
    <w:rsid w:val="00CE44F6"/>
    <w:rsid w:val="00CE49DA"/>
    <w:rsid w:val="00CE620B"/>
    <w:rsid w:val="00CE7B61"/>
    <w:rsid w:val="00D00095"/>
    <w:rsid w:val="00D114F0"/>
    <w:rsid w:val="00D20620"/>
    <w:rsid w:val="00D254F7"/>
    <w:rsid w:val="00D26091"/>
    <w:rsid w:val="00D2685C"/>
    <w:rsid w:val="00D34E7C"/>
    <w:rsid w:val="00D35489"/>
    <w:rsid w:val="00D36AFE"/>
    <w:rsid w:val="00D43BF5"/>
    <w:rsid w:val="00D51247"/>
    <w:rsid w:val="00D51276"/>
    <w:rsid w:val="00D7035F"/>
    <w:rsid w:val="00DA634F"/>
    <w:rsid w:val="00DA65AC"/>
    <w:rsid w:val="00DB1913"/>
    <w:rsid w:val="00DB3F7A"/>
    <w:rsid w:val="00DC410D"/>
    <w:rsid w:val="00DC5A81"/>
    <w:rsid w:val="00DC68CA"/>
    <w:rsid w:val="00DC7CBA"/>
    <w:rsid w:val="00DD73B7"/>
    <w:rsid w:val="00DF28BC"/>
    <w:rsid w:val="00DF34B9"/>
    <w:rsid w:val="00E01053"/>
    <w:rsid w:val="00E07ACF"/>
    <w:rsid w:val="00E11AF4"/>
    <w:rsid w:val="00E331A1"/>
    <w:rsid w:val="00E33202"/>
    <w:rsid w:val="00E336A9"/>
    <w:rsid w:val="00E472B1"/>
    <w:rsid w:val="00E50624"/>
    <w:rsid w:val="00E54633"/>
    <w:rsid w:val="00E568DF"/>
    <w:rsid w:val="00E64269"/>
    <w:rsid w:val="00E82267"/>
    <w:rsid w:val="00E853CE"/>
    <w:rsid w:val="00E867B6"/>
    <w:rsid w:val="00E9376C"/>
    <w:rsid w:val="00EA010F"/>
    <w:rsid w:val="00EC7D8B"/>
    <w:rsid w:val="00ED1B63"/>
    <w:rsid w:val="00ED3C1F"/>
    <w:rsid w:val="00ED4085"/>
    <w:rsid w:val="00ED420E"/>
    <w:rsid w:val="00ED6FBE"/>
    <w:rsid w:val="00EE2F57"/>
    <w:rsid w:val="00EF06BC"/>
    <w:rsid w:val="00EF4C34"/>
    <w:rsid w:val="00EF77C6"/>
    <w:rsid w:val="00F05438"/>
    <w:rsid w:val="00F1361C"/>
    <w:rsid w:val="00F156F0"/>
    <w:rsid w:val="00F160C7"/>
    <w:rsid w:val="00F2408F"/>
    <w:rsid w:val="00F240E9"/>
    <w:rsid w:val="00F36D8F"/>
    <w:rsid w:val="00F40221"/>
    <w:rsid w:val="00F417B1"/>
    <w:rsid w:val="00F45853"/>
    <w:rsid w:val="00F602DF"/>
    <w:rsid w:val="00F754A1"/>
    <w:rsid w:val="00F81FD9"/>
    <w:rsid w:val="00F841AA"/>
    <w:rsid w:val="00F84A94"/>
    <w:rsid w:val="00F87E96"/>
    <w:rsid w:val="00FA23E8"/>
    <w:rsid w:val="00FD3CC1"/>
    <w:rsid w:val="00FE4BB5"/>
    <w:rsid w:val="00FF1E02"/>
    <w:rsid w:val="00FF30B4"/>
    <w:rsid w:val="015975B8"/>
    <w:rsid w:val="02317B1B"/>
    <w:rsid w:val="02FEBE30"/>
    <w:rsid w:val="032C7B4B"/>
    <w:rsid w:val="061E35DE"/>
    <w:rsid w:val="066E0107"/>
    <w:rsid w:val="07996F6E"/>
    <w:rsid w:val="07DFD8BA"/>
    <w:rsid w:val="08DB07E4"/>
    <w:rsid w:val="09867E8F"/>
    <w:rsid w:val="0A2032A3"/>
    <w:rsid w:val="0C6C4794"/>
    <w:rsid w:val="0CA8290A"/>
    <w:rsid w:val="0D35B1ED"/>
    <w:rsid w:val="0DE07E2B"/>
    <w:rsid w:val="0F98263C"/>
    <w:rsid w:val="101860EC"/>
    <w:rsid w:val="10C055FF"/>
    <w:rsid w:val="11772AA4"/>
    <w:rsid w:val="118107EC"/>
    <w:rsid w:val="13D50BC4"/>
    <w:rsid w:val="14022904"/>
    <w:rsid w:val="152F2A07"/>
    <w:rsid w:val="165E0673"/>
    <w:rsid w:val="16BB723D"/>
    <w:rsid w:val="186504BB"/>
    <w:rsid w:val="1938089F"/>
    <w:rsid w:val="19A445FC"/>
    <w:rsid w:val="1B7D550C"/>
    <w:rsid w:val="1BE8440E"/>
    <w:rsid w:val="1D155CEE"/>
    <w:rsid w:val="1E740ACF"/>
    <w:rsid w:val="1FF35744"/>
    <w:rsid w:val="1FF6BC77"/>
    <w:rsid w:val="21962A9E"/>
    <w:rsid w:val="21AE7C77"/>
    <w:rsid w:val="22BC3C41"/>
    <w:rsid w:val="23860B96"/>
    <w:rsid w:val="240371BF"/>
    <w:rsid w:val="260F557C"/>
    <w:rsid w:val="281408E2"/>
    <w:rsid w:val="29FD04D3"/>
    <w:rsid w:val="2BFF7BC6"/>
    <w:rsid w:val="2C8A61B5"/>
    <w:rsid w:val="2D2E01CF"/>
    <w:rsid w:val="2DF04E50"/>
    <w:rsid w:val="2E9545B0"/>
    <w:rsid w:val="2F040D46"/>
    <w:rsid w:val="2FAE5751"/>
    <w:rsid w:val="2FB1A395"/>
    <w:rsid w:val="2FD9A7D8"/>
    <w:rsid w:val="308050E6"/>
    <w:rsid w:val="319F7F4E"/>
    <w:rsid w:val="321B2544"/>
    <w:rsid w:val="3304709D"/>
    <w:rsid w:val="34281836"/>
    <w:rsid w:val="349D6851"/>
    <w:rsid w:val="35BA6CAF"/>
    <w:rsid w:val="364D14C1"/>
    <w:rsid w:val="36AA5135"/>
    <w:rsid w:val="36BE0DA7"/>
    <w:rsid w:val="376B6AA6"/>
    <w:rsid w:val="376D39B2"/>
    <w:rsid w:val="37E16F03"/>
    <w:rsid w:val="37F53A3B"/>
    <w:rsid w:val="389B6C89"/>
    <w:rsid w:val="38D469F0"/>
    <w:rsid w:val="39627CCD"/>
    <w:rsid w:val="397BAF1F"/>
    <w:rsid w:val="3AB79AF3"/>
    <w:rsid w:val="3B7EF35A"/>
    <w:rsid w:val="3B9FDB6C"/>
    <w:rsid w:val="3BF5BC2F"/>
    <w:rsid w:val="3CEBA265"/>
    <w:rsid w:val="3D98207C"/>
    <w:rsid w:val="3D9B0D99"/>
    <w:rsid w:val="3DEE7CF3"/>
    <w:rsid w:val="3DF02244"/>
    <w:rsid w:val="3E78745D"/>
    <w:rsid w:val="3FF4CAE0"/>
    <w:rsid w:val="3FF7B227"/>
    <w:rsid w:val="40E54C45"/>
    <w:rsid w:val="43A407DF"/>
    <w:rsid w:val="44515BEA"/>
    <w:rsid w:val="44E268DA"/>
    <w:rsid w:val="453F7E5B"/>
    <w:rsid w:val="47162DE2"/>
    <w:rsid w:val="486A6C7A"/>
    <w:rsid w:val="49176D9B"/>
    <w:rsid w:val="4A627F82"/>
    <w:rsid w:val="4B0E749A"/>
    <w:rsid w:val="4B4F25DA"/>
    <w:rsid w:val="4BDA0CFB"/>
    <w:rsid w:val="4BE068DB"/>
    <w:rsid w:val="4D3C0CCC"/>
    <w:rsid w:val="4D577224"/>
    <w:rsid w:val="4DBF1CEB"/>
    <w:rsid w:val="4EAB630A"/>
    <w:rsid w:val="4ECE2238"/>
    <w:rsid w:val="4F833267"/>
    <w:rsid w:val="4FE9BD67"/>
    <w:rsid w:val="4FFB052F"/>
    <w:rsid w:val="53083A92"/>
    <w:rsid w:val="537E6D0A"/>
    <w:rsid w:val="53AF27A2"/>
    <w:rsid w:val="53F74C96"/>
    <w:rsid w:val="56E47B74"/>
    <w:rsid w:val="57BD3DD4"/>
    <w:rsid w:val="5AF92295"/>
    <w:rsid w:val="5BDD79E6"/>
    <w:rsid w:val="5BF561CA"/>
    <w:rsid w:val="5BFF5DFC"/>
    <w:rsid w:val="5CD71FC4"/>
    <w:rsid w:val="5D1F11B5"/>
    <w:rsid w:val="5DAE1B18"/>
    <w:rsid w:val="5DE7D9E5"/>
    <w:rsid w:val="5ECEC941"/>
    <w:rsid w:val="5F493CB7"/>
    <w:rsid w:val="5FBF9FF3"/>
    <w:rsid w:val="5FCD4E2C"/>
    <w:rsid w:val="5FD15F49"/>
    <w:rsid w:val="5FEF394A"/>
    <w:rsid w:val="5FF67715"/>
    <w:rsid w:val="62BF3928"/>
    <w:rsid w:val="647F5392"/>
    <w:rsid w:val="664B1D71"/>
    <w:rsid w:val="67AA3209"/>
    <w:rsid w:val="681C4F0D"/>
    <w:rsid w:val="69046D0F"/>
    <w:rsid w:val="698D0931"/>
    <w:rsid w:val="6A993CED"/>
    <w:rsid w:val="6B053271"/>
    <w:rsid w:val="6BCE6674"/>
    <w:rsid w:val="6C4A05C8"/>
    <w:rsid w:val="6C8742B8"/>
    <w:rsid w:val="6C8A170F"/>
    <w:rsid w:val="6CB54609"/>
    <w:rsid w:val="6DBF5E93"/>
    <w:rsid w:val="6DFF077E"/>
    <w:rsid w:val="6E7E3605"/>
    <w:rsid w:val="6E7FDCC7"/>
    <w:rsid w:val="6ED6A62E"/>
    <w:rsid w:val="6EE00B15"/>
    <w:rsid w:val="6F544B20"/>
    <w:rsid w:val="6F6FB3EB"/>
    <w:rsid w:val="6F784160"/>
    <w:rsid w:val="6F8731EA"/>
    <w:rsid w:val="6FCE6052"/>
    <w:rsid w:val="6FD57C00"/>
    <w:rsid w:val="6FEFFFD8"/>
    <w:rsid w:val="6FF5CC65"/>
    <w:rsid w:val="6FFB47EC"/>
    <w:rsid w:val="6FFF034A"/>
    <w:rsid w:val="70496804"/>
    <w:rsid w:val="712A28F1"/>
    <w:rsid w:val="715C0E4B"/>
    <w:rsid w:val="72233669"/>
    <w:rsid w:val="72734D90"/>
    <w:rsid w:val="7332FE48"/>
    <w:rsid w:val="73AB61DA"/>
    <w:rsid w:val="73AD73D5"/>
    <w:rsid w:val="73B6EB34"/>
    <w:rsid w:val="73FA497D"/>
    <w:rsid w:val="744731E5"/>
    <w:rsid w:val="74527205"/>
    <w:rsid w:val="74BBD01D"/>
    <w:rsid w:val="74ED5379"/>
    <w:rsid w:val="74FC2395"/>
    <w:rsid w:val="75DEEEC2"/>
    <w:rsid w:val="76E3355F"/>
    <w:rsid w:val="76FF5125"/>
    <w:rsid w:val="776F6FFA"/>
    <w:rsid w:val="778769C8"/>
    <w:rsid w:val="77DC22F5"/>
    <w:rsid w:val="79086DAD"/>
    <w:rsid w:val="79974F09"/>
    <w:rsid w:val="79D7FD79"/>
    <w:rsid w:val="79EE5BA4"/>
    <w:rsid w:val="79F1204D"/>
    <w:rsid w:val="7A894339"/>
    <w:rsid w:val="7AFF7572"/>
    <w:rsid w:val="7B6C7DFB"/>
    <w:rsid w:val="7BBFBED0"/>
    <w:rsid w:val="7BC3E394"/>
    <w:rsid w:val="7C1F3737"/>
    <w:rsid w:val="7CBFC87B"/>
    <w:rsid w:val="7CFE0F48"/>
    <w:rsid w:val="7D7EC23E"/>
    <w:rsid w:val="7D916348"/>
    <w:rsid w:val="7E8ADEBF"/>
    <w:rsid w:val="7EEF11D3"/>
    <w:rsid w:val="7F0971A6"/>
    <w:rsid w:val="7F3F679B"/>
    <w:rsid w:val="7F4FC4EF"/>
    <w:rsid w:val="7F5E4D54"/>
    <w:rsid w:val="7F6E0135"/>
    <w:rsid w:val="7FA30C79"/>
    <w:rsid w:val="7FAF8ABF"/>
    <w:rsid w:val="7FB7269E"/>
    <w:rsid w:val="7FC96657"/>
    <w:rsid w:val="7FDA9588"/>
    <w:rsid w:val="7FDF220F"/>
    <w:rsid w:val="7FEDC5F7"/>
    <w:rsid w:val="7FEDD9DE"/>
    <w:rsid w:val="7FF5890D"/>
    <w:rsid w:val="7FF93490"/>
    <w:rsid w:val="99FF2014"/>
    <w:rsid w:val="A6DD0D7F"/>
    <w:rsid w:val="ADC6F725"/>
    <w:rsid w:val="AFF63F92"/>
    <w:rsid w:val="AFFFFF00"/>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C960970"/>
    <w:rsid w:val="DD1FB521"/>
    <w:rsid w:val="DEFBFEAE"/>
    <w:rsid w:val="DF1F3B80"/>
    <w:rsid w:val="DF6F9789"/>
    <w:rsid w:val="DFFFA9E8"/>
    <w:rsid w:val="E5F4E9DC"/>
    <w:rsid w:val="E70FE695"/>
    <w:rsid w:val="ECFED1BC"/>
    <w:rsid w:val="ED1D69BB"/>
    <w:rsid w:val="ED7FD312"/>
    <w:rsid w:val="EF53993F"/>
    <w:rsid w:val="EF6FD633"/>
    <w:rsid w:val="EFBFB2F4"/>
    <w:rsid w:val="EFBFFA21"/>
    <w:rsid w:val="F2BEBCB8"/>
    <w:rsid w:val="F36FB518"/>
    <w:rsid w:val="F3DE1A04"/>
    <w:rsid w:val="F3F722E5"/>
    <w:rsid w:val="F93C5C6C"/>
    <w:rsid w:val="FA5F1E70"/>
    <w:rsid w:val="FA5FDB97"/>
    <w:rsid w:val="FB7F486A"/>
    <w:rsid w:val="FBFF5B2E"/>
    <w:rsid w:val="FD7FFE2B"/>
    <w:rsid w:val="FDEE196B"/>
    <w:rsid w:val="FDFE6575"/>
    <w:rsid w:val="FEDFDDC2"/>
    <w:rsid w:val="FEED32F6"/>
    <w:rsid w:val="FEF781DD"/>
    <w:rsid w:val="FF3F7E3F"/>
    <w:rsid w:val="FF9F9689"/>
    <w:rsid w:val="FFBA12D7"/>
    <w:rsid w:val="FFDFFAEE"/>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link w:val="35"/>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Body Text"/>
    <w:basedOn w:val="1"/>
    <w:link w:val="25"/>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8"/>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5"/>
    <w:qFormat/>
    <w:uiPriority w:val="9"/>
    <w:rPr>
      <w:rFonts w:ascii="Times New Roman" w:hAnsi="Times New Roman"/>
      <w:b/>
      <w:bCs/>
      <w:kern w:val="44"/>
      <w:sz w:val="44"/>
      <w:szCs w:val="44"/>
    </w:rPr>
  </w:style>
  <w:style w:type="character" w:customStyle="1" w:styleId="29">
    <w:name w:val="标题 2 Char"/>
    <w:basedOn w:val="16"/>
    <w:link w:val="6"/>
    <w:qFormat/>
    <w:uiPriority w:val="9"/>
    <w:rPr>
      <w:rFonts w:asciiTheme="majorHAnsi" w:hAnsiTheme="majorHAnsi" w:eastAsiaTheme="majorEastAsia" w:cstheme="majorBidi"/>
      <w:b/>
      <w:bCs/>
      <w:kern w:val="2"/>
      <w:sz w:val="32"/>
      <w:szCs w:val="32"/>
    </w:rPr>
  </w:style>
  <w:style w:type="paragraph" w:customStyle="1" w:styleId="30">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10"/>
    <w:semiHidden/>
    <w:qFormat/>
    <w:uiPriority w:val="99"/>
    <w:rPr>
      <w:rFonts w:ascii="Times New Roman" w:hAnsi="Times New Roman"/>
      <w:kern w:val="2"/>
      <w:sz w:val="18"/>
      <w:szCs w:val="18"/>
    </w:rPr>
  </w:style>
  <w:style w:type="character" w:customStyle="1" w:styleId="32">
    <w:name w:val="标题 3 Char"/>
    <w:basedOn w:val="16"/>
    <w:link w:val="7"/>
    <w:qFormat/>
    <w:uiPriority w:val="9"/>
    <w:rPr>
      <w:rFonts w:ascii="Times New Roman" w:hAnsi="Times New Roman"/>
      <w:b/>
      <w:bCs/>
      <w:kern w:val="2"/>
      <w:sz w:val="32"/>
      <w:szCs w:val="32"/>
    </w:rPr>
  </w:style>
  <w:style w:type="paragraph" w:customStyle="1" w:styleId="33">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character" w:customStyle="1" w:styleId="35">
    <w:name w:val="正文首行缩进 2 Char"/>
    <w:basedOn w:val="16"/>
    <w:link w:val="3"/>
    <w:qFormat/>
    <w:uiPriority w:val="99"/>
    <w:rPr>
      <w:rFonts w:ascii="仿宋_GB2312"/>
      <w:kern w:val="2"/>
      <w:sz w:val="21"/>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7.xml"/><Relationship Id="rId17" Type="http://schemas.openxmlformats.org/officeDocument/2006/relationships/chart" Target="charts/chart6.xml"/><Relationship Id="rId16" Type="http://schemas.openxmlformats.org/officeDocument/2006/relationships/chart" Target="charts/chart5.xml"/><Relationship Id="rId15" Type="http://schemas.openxmlformats.org/officeDocument/2006/relationships/chart" Target="charts/chart4.xml"/><Relationship Id="rId14" Type="http://schemas.openxmlformats.org/officeDocument/2006/relationships/chart" Target="charts/chart3.xml"/><Relationship Id="rId13" Type="http://schemas.openxmlformats.org/officeDocument/2006/relationships/chart" Target="charts/chart2.xml"/><Relationship Id="rId12" Type="http://schemas.openxmlformats.org/officeDocument/2006/relationships/chart" Target="charts/chart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Sheet1!$B$1</c:f>
              <c:strCache>
                <c:ptCount val="1"/>
                <c:pt idx="0">
                  <c:v>年度总收入、支出对比图</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2024年度总收入、支出</c:v>
                </c:pt>
                <c:pt idx="1">
                  <c:v>2025年度总收入、支出</c:v>
                </c:pt>
              </c:strCache>
            </c:strRef>
          </c:cat>
          <c:val>
            <c:numRef>
              <c:f>Sheet1!$B$2:$B$3</c:f>
              <c:numCache>
                <c:formatCode>General</c:formatCode>
                <c:ptCount val="2"/>
                <c:pt idx="0">
                  <c:v>1476.43</c:v>
                </c:pt>
                <c:pt idx="1">
                  <c:v>1188.48</c:v>
                </c:pt>
              </c:numCache>
            </c:numRef>
          </c:val>
        </c:ser>
        <c:dLbls>
          <c:showLegendKey val="0"/>
          <c:showVal val="1"/>
          <c:showCatName val="0"/>
          <c:showSerName val="0"/>
          <c:showPercent val="0"/>
          <c:showBubbleSize val="0"/>
        </c:dLbls>
        <c:gapWidth val="150"/>
        <c:overlap val="100"/>
        <c:axId val="203929472"/>
        <c:axId val="205414784"/>
      </c:barChart>
      <c:catAx>
        <c:axId val="203929472"/>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05414784"/>
        <c:crosses val="autoZero"/>
        <c:auto val="1"/>
        <c:lblAlgn val="ctr"/>
        <c:lblOffset val="100"/>
        <c:noMultiLvlLbl val="0"/>
      </c:catAx>
      <c:valAx>
        <c:axId val="20541478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03929472"/>
        <c:crosses val="autoZero"/>
        <c:crossBetween val="between"/>
      </c:valAx>
    </c:plotArea>
    <c:plotVisOnly val="1"/>
    <c:dispBlanksAs val="gap"/>
    <c:showDLblsOverMax val="0"/>
    <c:extLst>
      <c:ext uri="{0b15fc19-7d7d-44ad-8c2d-2c3a37ce22c3}">
        <chartProps xmlns="https://web.wps.cn/et/2018/main" chartId="{90c6002b-9c67-4d59-9c5e-e1a1c1248ef6}"/>
      </c:ext>
    </c:extLst>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一般公共预算财政拨款收入</c:v>
                </c:pt>
                <c:pt idx="1">
                  <c:v>政府性基金预算财政拨款收入</c:v>
                </c:pt>
              </c:strCache>
            </c:strRef>
          </c:cat>
          <c:val>
            <c:numRef>
              <c:f>Sheet1!$B$2:$B$3</c:f>
              <c:numCache>
                <c:formatCode>0.0%</c:formatCode>
                <c:ptCount val="2"/>
                <c:pt idx="0">
                  <c:v>0.957</c:v>
                </c:pt>
                <c:pt idx="1">
                  <c:v>0.043</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71870fff-1cfb-4cd3-91a1-fbca5d7a754a}"/>
      </c:ext>
    </c:extLst>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0.0%</c:formatCode>
                <c:ptCount val="2"/>
                <c:pt idx="0">
                  <c:v>0.342</c:v>
                </c:pt>
                <c:pt idx="1">
                  <c:v>0.658</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7a3e66b6-c7e1-4a9c-a7a9-097ab123be59}"/>
      </c:ext>
    </c:extLst>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Sheet1!$B$1</c:f>
              <c:strCache>
                <c:ptCount val="1"/>
                <c:pt idx="0">
                  <c:v>财政拨款收、支决算总计变动情况</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2024年财政拨款收、支决算</c:v>
                </c:pt>
                <c:pt idx="1">
                  <c:v>2025年财政拨款收、支决算</c:v>
                </c:pt>
              </c:strCache>
            </c:strRef>
          </c:cat>
          <c:val>
            <c:numRef>
              <c:f>Sheet1!$B$2:$B$3</c:f>
              <c:numCache>
                <c:formatCode>General</c:formatCode>
                <c:ptCount val="2"/>
                <c:pt idx="0">
                  <c:v>1476.43</c:v>
                </c:pt>
                <c:pt idx="1">
                  <c:v>1188.48</c:v>
                </c:pt>
              </c:numCache>
            </c:numRef>
          </c:val>
        </c:ser>
        <c:dLbls>
          <c:showLegendKey val="0"/>
          <c:showVal val="1"/>
          <c:showCatName val="0"/>
          <c:showSerName val="0"/>
          <c:showPercent val="0"/>
          <c:showBubbleSize val="0"/>
        </c:dLbls>
        <c:gapWidth val="150"/>
        <c:overlap val="100"/>
        <c:axId val="204767616"/>
        <c:axId val="204770304"/>
      </c:barChart>
      <c:catAx>
        <c:axId val="204767616"/>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04770304"/>
        <c:crosses val="autoZero"/>
        <c:auto val="1"/>
        <c:lblAlgn val="ctr"/>
        <c:lblOffset val="100"/>
        <c:noMultiLvlLbl val="0"/>
      </c:catAx>
      <c:valAx>
        <c:axId val="20477030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04767616"/>
        <c:crosses val="autoZero"/>
        <c:crossBetween val="between"/>
      </c:valAx>
    </c:plotArea>
    <c:plotVisOnly val="1"/>
    <c:dispBlanksAs val="gap"/>
    <c:showDLblsOverMax val="0"/>
    <c:extLst>
      <c:ext uri="{0b15fc19-7d7d-44ad-8c2d-2c3a37ce22c3}">
        <chartProps xmlns="https://web.wps.cn/et/2018/main" chartId="{bcf98951-aed1-4139-9bef-a2d0c526b1df}"/>
      </c:ext>
    </c:extLst>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Sheet1!$B$1</c:f>
              <c:strCache>
                <c:ptCount val="1"/>
                <c:pt idx="0">
                  <c:v>一般公共预算财政拨款支出决算变动情况</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2024年</c:v>
                </c:pt>
                <c:pt idx="1">
                  <c:v>2025年</c:v>
                </c:pt>
              </c:strCache>
            </c:strRef>
          </c:cat>
          <c:val>
            <c:numRef>
              <c:f>Sheet1!$B$2:$B$3</c:f>
              <c:numCache>
                <c:formatCode>General</c:formatCode>
                <c:ptCount val="2"/>
                <c:pt idx="0">
                  <c:v>1277.47</c:v>
                </c:pt>
                <c:pt idx="1">
                  <c:v>1137</c:v>
                </c:pt>
              </c:numCache>
            </c:numRef>
          </c:val>
        </c:ser>
        <c:dLbls>
          <c:showLegendKey val="0"/>
          <c:showVal val="1"/>
          <c:showCatName val="0"/>
          <c:showSerName val="0"/>
          <c:showPercent val="0"/>
          <c:showBubbleSize val="0"/>
        </c:dLbls>
        <c:gapWidth val="152"/>
        <c:overlap val="90"/>
        <c:axId val="204823168"/>
        <c:axId val="204834304"/>
      </c:barChart>
      <c:catAx>
        <c:axId val="204823168"/>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04834304"/>
        <c:crosses val="autoZero"/>
        <c:auto val="1"/>
        <c:lblAlgn val="ctr"/>
        <c:lblOffset val="100"/>
        <c:noMultiLvlLbl val="0"/>
      </c:catAx>
      <c:valAx>
        <c:axId val="20483430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04823168"/>
        <c:crosses val="autoZero"/>
        <c:crossBetween val="between"/>
      </c:valAx>
    </c:plotArea>
    <c:plotVisOnly val="1"/>
    <c:dispBlanksAs val="gap"/>
    <c:showDLblsOverMax val="0"/>
    <c:extLst>
      <c:ext uri="{0b15fc19-7d7d-44ad-8c2d-2c3a37ce22c3}">
        <chartProps xmlns="https://web.wps.cn/et/2018/main" chartId="{a1705fd9-8d23-4c4f-96e0-c36695334fd8}"/>
      </c:ext>
    </c:extLst>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explosion val="0"/>
          <c:dPt>
            <c:idx val="0"/>
            <c:bubble3D val="0"/>
          </c:dPt>
          <c:dPt>
            <c:idx val="1"/>
            <c:bubble3D val="0"/>
          </c:dPt>
          <c:dPt>
            <c:idx val="2"/>
            <c:bubble3D val="0"/>
          </c:dPt>
          <c:dPt>
            <c:idx val="3"/>
            <c:bubble3D val="0"/>
          </c:dPt>
          <c:dPt>
            <c:idx val="4"/>
            <c:bubble3D val="0"/>
          </c:dPt>
          <c:dPt>
            <c:idx val="5"/>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Sheet1!$A$2:$A$6</c:f>
              <c:strCache>
                <c:ptCount val="5"/>
                <c:pt idx="0">
                  <c:v>社会保障和就业支出</c:v>
                </c:pt>
                <c:pt idx="1">
                  <c:v>卫生健康支出</c:v>
                </c:pt>
                <c:pt idx="2">
                  <c:v>节能环保支出</c:v>
                </c:pt>
                <c:pt idx="3">
                  <c:v>农林水支出</c:v>
                </c:pt>
                <c:pt idx="4">
                  <c:v>住房保障支出</c:v>
                </c:pt>
              </c:strCache>
            </c:strRef>
          </c:cat>
          <c:val>
            <c:numRef>
              <c:f>Sheet1!$B$2:$B$7</c:f>
              <c:numCache>
                <c:formatCode>0.0%</c:formatCode>
                <c:ptCount val="6"/>
                <c:pt idx="0">
                  <c:v>0.042</c:v>
                </c:pt>
                <c:pt idx="1">
                  <c:v>0.018</c:v>
                </c:pt>
                <c:pt idx="2">
                  <c:v>0.251</c:v>
                </c:pt>
                <c:pt idx="3">
                  <c:v>0.612</c:v>
                </c:pt>
                <c:pt idx="4">
                  <c:v>0.024</c:v>
                </c:pt>
                <c:pt idx="5">
                  <c:v>0.053</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97783087900118"/>
          <c:y val="0.267696111364919"/>
          <c:w val="0.287591683580686"/>
          <c:h val="0.62114894341279"/>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183d5e4a-10b9-4fd6-8fa5-f92fb2b2d5c8}"/>
      </c:ext>
    </c:extLst>
  </c:chart>
  <c:txPr>
    <a:bodyPr/>
    <a:lstStyle/>
    <a:p>
      <a:pPr>
        <a:defRPr lang="zh-CN"/>
      </a:pPr>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财政拨款“三公”经费支出结构</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公务用车购置及运行维护费支出</c:v>
                </c:pt>
                <c:pt idx="1">
                  <c:v>公务接待费支出</c:v>
                </c:pt>
              </c:strCache>
            </c:strRef>
          </c:cat>
          <c:val>
            <c:numRef>
              <c:f>Sheet1!$B$2:$B$3</c:f>
              <c:numCache>
                <c:formatCode>0.0%</c:formatCode>
                <c:ptCount val="2"/>
                <c:pt idx="0">
                  <c:v>0.994</c:v>
                </c:pt>
                <c:pt idx="1">
                  <c:v>0.006</c:v>
                </c:pt>
              </c:numCache>
            </c:numRef>
          </c:val>
        </c:ser>
        <c:dLbls>
          <c:showLegendKey val="0"/>
          <c:showVal val="1"/>
          <c:showCatName val="0"/>
          <c:showSerName val="0"/>
          <c:showPercent val="0"/>
          <c:showBubbleSize val="0"/>
          <c:showLeaderLines val="1"/>
        </c:dLbls>
        <c:firstSliceAng val="0"/>
      </c:pieChart>
    </c:plotArea>
    <c:legend>
      <c:legendPos val="r"/>
      <c:layout>
        <c:manualLayout>
          <c:xMode val="edge"/>
          <c:yMode val="edge"/>
          <c:x val="0.597869986299876"/>
          <c:y val="0.380137076428475"/>
          <c:w val="0.387680886668215"/>
          <c:h val="0.373416465091647"/>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7a8181d3-8e3e-4636-9131-368c2871a24a}"/>
      </c:ext>
    </c:extLst>
  </c:chart>
  <c:txPr>
    <a:bodyPr/>
    <a:lstStyle/>
    <a:p>
      <a:pPr>
        <a:defRPr lang="zh-CN"/>
      </a:pPr>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0.73492</cdr:x>
      <cdr:y>0.79522</cdr:y>
    </cdr:from>
    <cdr:to>
      <cdr:x>0.90128</cdr:x>
      <cdr:y>0.87031</cdr:y>
    </cdr:to>
    <cdr:sp>
      <cdr:nvSpPr>
        <cdr:cNvPr id="2" name="矩形 1"/>
        <cdr:cNvSpPr/>
      </cdr:nvSpPr>
      <cdr:spPr xmlns:a="http://schemas.openxmlformats.org/drawingml/2006/main">
        <a:xfrm xmlns:a="http://schemas.openxmlformats.org/drawingml/2006/main">
          <a:off x="3829050" y="2219325"/>
          <a:ext cx="866775" cy="209550"/>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r>
            <a:rPr lang="zh-CN" altLang="en-US" sz="900"/>
            <a:t>其他支出</a:t>
          </a:r>
          <a:endParaRPr lang="zh-CN" altLang="en-US" sz="9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8b78eff9-b6aa-45dd-b594-11dcf8015ace</errorID>
      <errorWord>:</errorWord>
      <group>L1_Format</group>
      <groupName>格式问题</groupName>
      <ability>L2_HalfPunc_CN</ability>
      <abilityName>全半角检查</abilityName>
      <candidateList>
        <item>：</item>
      </candidateList>
      <explain>文本全半角错误。</explain>
      <paraID>69F8F71C</paraID>
      <start>26</start>
      <end>27</end>
      <status>modified</status>
      <modifiedWord>：</modifiedWord>
      <trackRevisions>false</trackRevisions>
    </reviewItem>
    <reviewItem>
      <errorID>978823b7-5305-4632-a3a4-412996ecae55</errorID>
      <errorWord>:</errorWord>
      <group>L1_Format</group>
      <groupName>格式问题</groupName>
      <ability>L2_HalfPunc_CN</ability>
      <abilityName>全半角检查</abilityName>
      <candidateList>
        <item>：</item>
      </candidateList>
      <explain>文本全半角错误。</explain>
      <paraID>7E0764E0</paraID>
      <start>25</start>
      <end>26</end>
      <status>modified</status>
      <modifiedWord>：</modifiedWord>
      <trackRevisions>false</trackRevisions>
    </reviewItem>
    <reviewItem>
      <errorID>125ce450-5971-4528-810b-bc4490774ff7</errorID>
      <errorWord>:</errorWord>
      <group>L1_Format</group>
      <groupName>格式问题</groupName>
      <ability>L2_HalfPunc_CN</ability>
      <abilityName>全半角检查</abilityName>
      <candidateList>
        <item>：</item>
      </candidateList>
      <explain>文本全半角错误。</explain>
      <paraID>1BC24354</paraID>
      <start>31</start>
      <end>32</end>
      <status>modified</status>
      <modifiedWord>：</modifiedWord>
      <trackRevisions>false</trackRevisions>
    </reviewItem>
    <reviewItem>
      <errorID>6ecdcb0a-1713-48e8-952e-e3d538e2156d</errorID>
      <errorWord>:</errorWord>
      <group>L1_Format</group>
      <groupName>格式问题</groupName>
      <ability>L2_HalfPunc_CN</ability>
      <abilityName>全半角检查</abilityName>
      <candidateList>
        <item>：</item>
      </candidateList>
      <explain>文本全半角错误。</explain>
      <paraID>7999C39C</paraID>
      <start>23</start>
      <end>24</end>
      <status>modified</status>
      <modifiedWord>：</modifiedWord>
      <trackRevisions>false</trackRevisions>
    </reviewItem>
    <reviewItem>
      <errorID>e098b70c-b718-4a2d-aa13-0a51551aa355</errorID>
      <errorWord>:</errorWord>
      <group>L1_Format</group>
      <groupName>格式问题</groupName>
      <ability>L2_HalfPunc_CN</ability>
      <abilityName>全半角检查</abilityName>
      <candidateList>
        <item>：</item>
      </candidateList>
      <explain>文本全半角错误。</explain>
      <paraID>3BB2206A</paraID>
      <start>24</start>
      <end>25</end>
      <status>modified</status>
      <modifiedWord>：</modifiedWord>
      <trackRevisions>false</trackRevisions>
    </reviewItem>
    <reviewItem>
      <errorID>3585d5f9-41d5-4ace-8573-24c665816fa4</errorID>
      <errorWord>:</errorWord>
      <group>L1_Format</group>
      <groupName>格式问题</groupName>
      <ability>L2_HalfPunc_CN</ability>
      <abilityName>全半角检查</abilityName>
      <candidateList>
        <item>：</item>
      </candidateList>
      <explain>文本全半角错误。</explain>
      <paraID>4EDD0EFD</paraID>
      <start>25</start>
      <end>26</end>
      <status>modified</status>
      <modifiedWord>：</modifiedWord>
      <trackRevisions>false</trackRevisions>
    </reviewItem>
    <reviewItem>
      <errorID>ab8a6c18-2a5f-4091-b854-a49b99ea47f8</errorID>
      <errorWord>:</errorWord>
      <group>L1_Format</group>
      <groupName>格式问题</groupName>
      <ability>L2_HalfPunc_CN</ability>
      <abilityName>全半角检查</abilityName>
      <candidateList>
        <item>：</item>
      </candidateList>
      <explain>文本全半角错误。</explain>
      <paraID>6DB66D5A</paraID>
      <start>27</start>
      <end>28</end>
      <status>modified</status>
      <modifiedWord>：</modifiedWord>
      <trackRevisions>false</trackRevisions>
    </reviewItem>
    <reviewItem>
      <errorID>f75ec36e-ef93-40b7-8714-0825d950abad</errorID>
      <errorWord>:</errorWord>
      <group>L1_Format</group>
      <groupName>格式问题</groupName>
      <ability>L2_HalfPunc_CN</ability>
      <abilityName>全半角检查</abilityName>
      <candidateList>
        <item>：</item>
      </candidateList>
      <explain>文本全半角错误。</explain>
      <paraID>336F7F75</paraID>
      <start>25</start>
      <end>26</end>
      <status>modified</status>
      <modifiedWord>：</modifiedWord>
      <trackRevisions>false</trackRevisions>
    </reviewItem>
    <reviewItem>
      <errorID>8422e72e-3757-45bd-9f61-38b48ef6cec8</errorID>
      <errorWord>:</errorWord>
      <group>L1_Format</group>
      <groupName>格式问题</groupName>
      <ability>L2_HalfPunc_CN</ability>
      <abilityName>全半角检查</abilityName>
      <candidateList>
        <item>：</item>
      </candidateList>
      <explain>文本全半角错误。</explain>
      <paraID>41D3EF1D</paraID>
      <start>18</start>
      <end>19</end>
      <status>modified</status>
      <modifiedWord>：</modifiedWord>
      <trackRevisions>false</trackRevisions>
    </reviewItem>
    <reviewItem>
      <errorID>d1d792f5-8230-4ae8-bd68-b1f1b21a5044</errorID>
      <errorWord>主要是</errorWord>
      <group>L1_Word</group>
      <groupName>字词问题</groupName>
      <ability>L2_Typo</ability>
      <abilityName>字词错误</abilityName>
      <candidateList>
        <item>主要</item>
      </candidateList>
      <explain/>
      <paraID>1E2D16CD</paraID>
      <start>128</start>
      <end>131</end>
      <status>unmodified</status>
      <modifiedWord/>
      <trackRevisions>false</trackRevisions>
    </reviewItem>
    <reviewItem>
      <errorID>e7acc4e8-dcfe-4633-a1b1-720adc30c201</errorID>
      <errorWord>，</errorWord>
      <group>L1_Word</group>
      <groupName>字词问题</groupName>
      <ability>L2_Typo</ability>
      <abilityName>字词错误</abilityName>
      <candidateList>
        <item>，在</item>
      </candidateList>
      <explain/>
      <paraID>24E951C9</paraID>
      <start>115</start>
      <end>117</end>
      <status>modified</status>
      <modifiedWord>，在</modifiedWord>
      <trackRevisions>false</trackRevisions>
    </reviewItem>
    <reviewItem>
      <errorID>b1973b8e-b3e9-4cb8-aadf-5e0d156b4a60</errorID>
      <errorWord>:</errorWord>
      <group>L1_Format</group>
      <groupName>格式问题</groupName>
      <ability>L2_HalfPunc_CN</ability>
      <abilityName>全半角检查</abilityName>
      <candidateList>
        <item>：</item>
      </candidateList>
      <explain>文本全半角错误。</explain>
      <paraID>46902D92</paraID>
      <start>27</start>
      <end>28</end>
      <status>modified</status>
      <modifiedWord>：</modifiedWord>
      <trackRevisions>false</trackRevisions>
    </reviewItem>
    <reviewItem>
      <errorID>c2ad10c5-1f75-4b85-87f8-ccd16b1f4588</errorID>
      <errorWord>:</errorWord>
      <group>L1_Format</group>
      <groupName>格式问题</groupName>
      <ability>L2_HalfPunc_CN</ability>
      <abilityName>全半角检查</abilityName>
      <candidateList>
        <item>：</item>
      </candidateList>
      <explain>文本全半角错误。</explain>
      <paraID>1CCB319C</paraID>
      <start>26</start>
      <end>27</end>
      <status>modified</status>
      <modifiedWord>：</modifiedWord>
      <trackRevisions>false</trackRevisions>
    </reviewItem>
    <reviewItem>
      <errorID>7b077e9e-9b05-4447-bb86-9ab74095446d</errorID>
      <errorWord>:</errorWord>
      <group>L1_Format</group>
      <groupName>格式问题</groupName>
      <ability>L2_HalfPunc_CN</ability>
      <abilityName>全半角检查</abilityName>
      <candidateList>
        <item>：</item>
      </candidateList>
      <explain>文本全半角错误。</explain>
      <paraID>6A6D5CE1</paraID>
      <start>32</start>
      <end>33</end>
      <status>modified</status>
      <modifiedWord>：</modifiedWord>
      <trackRevisions>false</trackRevisions>
    </reviewItem>
    <reviewItem>
      <errorID>e9d460dc-f6f9-4c50-9a63-15e6551b44bf</errorID>
      <errorWord>:</errorWord>
      <group>L1_Format</group>
      <groupName>格式问题</groupName>
      <ability>L2_HalfPunc_CN</ability>
      <abilityName>全半角检查</abilityName>
      <candidateList>
        <item>：</item>
      </candidateList>
      <explain>文本全半角错误。</explain>
      <paraID> 6DA33BB</paraID>
      <start>23</start>
      <end>24</end>
      <status>modified</status>
      <modifiedWord>：</modifiedWord>
      <trackRevisions>false</trackRevisions>
    </reviewItem>
    <reviewItem>
      <errorID>228c279c-ff43-46c9-bd3e-d7a9402298bc</errorID>
      <errorWord>:</errorWord>
      <group>L1_Format</group>
      <groupName>格式问题</groupName>
      <ability>L2_HalfPunc_CN</ability>
      <abilityName>全半角检查</abilityName>
      <candidateList>
        <item>：</item>
      </candidateList>
      <explain>文本全半角错误。</explain>
      <paraID>66657E4B</paraID>
      <start>24</start>
      <end>25</end>
      <status>modified</status>
      <modifiedWord>：</modifiedWord>
      <trackRevisions>false</trackRevisions>
    </reviewItem>
    <reviewItem>
      <errorID>ea646c45-a9fc-4e54-8df8-32c35a380bb6</errorID>
      <errorWord>:</errorWord>
      <group>L1_Format</group>
      <groupName>格式问题</groupName>
      <ability>L2_HalfPunc_CN</ability>
      <abilityName>全半角检查</abilityName>
      <candidateList>
        <item>：</item>
      </candidateList>
      <explain>文本全半角错误。</explain>
      <paraID>3ACA0EFB</paraID>
      <start>25</start>
      <end>26</end>
      <status>modified</status>
      <modifiedWord>：</modifiedWord>
      <trackRevisions>false</trackRevisions>
    </reviewItem>
    <reviewItem>
      <errorID>458d4eb0-9920-455b-b3b5-00bec485971d</errorID>
      <errorWord>:</errorWord>
      <group>L1_Format</group>
      <groupName>格式问题</groupName>
      <ability>L2_HalfPunc_CN</ability>
      <abilityName>全半角检查</abilityName>
      <candidateList>
        <item>：</item>
      </candidateList>
      <explain>文本全半角错误。</explain>
      <paraID>15FB91F1</paraID>
      <start>27</start>
      <end>28</end>
      <status>modified</status>
      <modifiedWord>：</modifiedWord>
      <trackRevisions>false</trackRevisions>
    </reviewItem>
    <reviewItem>
      <errorID>9d26c035-ff05-4686-aeb0-3f265892ff6c</errorID>
      <errorWord>:</errorWord>
      <group>L1_Format</group>
      <groupName>格式问题</groupName>
      <ability>L2_HalfPunc_CN</ability>
      <abilityName>全半角检查</abilityName>
      <candidateList>
        <item>：</item>
      </candidateList>
      <explain>文本全半角错误。</explain>
      <paraID>550E5BAD</paraID>
      <start>25</start>
      <end>26</end>
      <status>modified</status>
      <modifiedWord>：</modifiedWord>
      <trackRevisions>false</trackRevisions>
    </reviewItem>
    <reviewItem>
      <errorID>4a7015ad-448b-4f0c-a4b6-e4b3d4b4065d</errorID>
      <errorWord>:</errorWord>
      <group>L1_Format</group>
      <groupName>格式问题</groupName>
      <ability>L2_HalfPunc_CN</ability>
      <abilityName>全半角检查</abilityName>
      <candidateList>
        <item>：</item>
      </candidateList>
      <explain>文本全半角错误。</explain>
      <paraID> C2572D3</paraID>
      <start>18</start>
      <end>19</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f8cf66-fa4e-4006-83e3-c822cf98093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21</Pages>
  <Words>5794</Words>
  <Characters>6341</Characters>
  <Lines>7</Lines>
  <Paragraphs>13</Paragraphs>
  <TotalTime>27</TotalTime>
  <ScaleCrop>false</ScaleCrop>
  <LinksUpToDate>false</LinksUpToDate>
  <CharactersWithSpaces>6394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2020-08-09T17:49:00Z</dcterms:created>
  <dc:creator>曹颖</dc:creator>
  <cp:lastModifiedBy>苗琪玥</cp:lastModifiedBy>
  <cp:lastPrinted>2026-08-28T00:27:00Z</cp:lastPrinted>
  <dcterms:modified xsi:type="dcterms:W3CDTF">2026-09-14T01:13:19Z</dcterms:modified>
  <dc:title>四川省***</dc:title>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3BF536824C220DA3E40E8B68BA118B1C_42</vt:lpwstr>
  </property>
  <property fmtid="{D5CDD505-2E9C-101B-9397-08002B2CF9AE}" pid="4" name="KSOTemplateDocerSaveRecord">
    <vt:lpwstr>eyJoZGlkIjoiNDMyZGVhNTA1MWY2NzJlZDY4MTIyODQ3ZDNiOTljN2YiLCJ1c2VySWQiOiIzNjYxNjkxODQifQ==</vt:lpwstr>
  </property>
</Properties>
</file>