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EADE86">
      <w:pPr>
        <w:pStyle w:val="9"/>
        <w:ind w:firstLine="198" w:firstLineChars="45"/>
        <w:rPr>
          <w:rFonts w:hint="eastAsia" w:ascii="Times New Roman" w:hAnsi="Times New Roman" w:eastAsia="方正小标宋简体"/>
          <w:sz w:val="44"/>
          <w:szCs w:val="44"/>
        </w:rPr>
      </w:pPr>
    </w:p>
    <w:p w14:paraId="079EE20C">
      <w:pPr>
        <w:pStyle w:val="9"/>
        <w:ind w:firstLine="880"/>
        <w:jc w:val="center"/>
        <w:rPr>
          <w:rFonts w:ascii="Times New Roman" w:hAnsi="Times New Roman" w:eastAsia="方正小标宋简体"/>
          <w:sz w:val="44"/>
          <w:szCs w:val="44"/>
        </w:rPr>
      </w:pPr>
    </w:p>
    <w:p w14:paraId="5BF3D542">
      <w:pPr>
        <w:pStyle w:val="9"/>
        <w:ind w:firstLine="880"/>
        <w:jc w:val="center"/>
        <w:rPr>
          <w:rFonts w:ascii="Times New Roman" w:hAnsi="Times New Roman" w:eastAsia="方正小标宋简体"/>
          <w:sz w:val="44"/>
          <w:szCs w:val="44"/>
        </w:rPr>
      </w:pPr>
    </w:p>
    <w:p w14:paraId="59B45926">
      <w:pPr>
        <w:pStyle w:val="9"/>
        <w:ind w:firstLine="880"/>
        <w:jc w:val="center"/>
        <w:rPr>
          <w:rFonts w:hint="eastAsia" w:ascii="Times New Roman" w:hAnsi="Times New Roman" w:eastAsia="方正小标宋简体"/>
          <w:sz w:val="44"/>
          <w:szCs w:val="44"/>
        </w:rPr>
      </w:pPr>
    </w:p>
    <w:p w14:paraId="5951CEDB">
      <w:pPr>
        <w:pStyle w:val="9"/>
        <w:spacing w:before="72" w:after="0" w:line="240" w:lineRule="auto"/>
        <w:ind w:firstLine="0" w:firstLineChars="0"/>
        <w:jc w:val="center"/>
        <w:rPr>
          <w:rFonts w:hint="eastAsia" w:ascii="Times New Roman" w:eastAsia="方正小标宋简体"/>
          <w:sz w:val="44"/>
          <w:szCs w:val="44"/>
        </w:rPr>
      </w:pPr>
      <w:r>
        <w:rPr>
          <w:rFonts w:hint="eastAsia" w:ascii="Times New Roman" w:eastAsia="方正小标宋简体"/>
          <w:sz w:val="44"/>
          <w:szCs w:val="44"/>
        </w:rPr>
        <w:t>2025年度攀枝花市森林病虫防治检疫站</w:t>
      </w:r>
    </w:p>
    <w:p w14:paraId="6AE9531A">
      <w:pPr>
        <w:pStyle w:val="9"/>
        <w:spacing w:before="72" w:after="0" w:line="240" w:lineRule="auto"/>
        <w:ind w:firstLine="0" w:firstLineChars="0"/>
        <w:jc w:val="center"/>
        <w:rPr>
          <w:rFonts w:ascii="Times New Roman" w:eastAsia="方正小标宋简体"/>
          <w:sz w:val="44"/>
          <w:szCs w:val="44"/>
        </w:rPr>
      </w:pPr>
      <w:r>
        <w:rPr>
          <w:rFonts w:hint="eastAsia" w:ascii="Times New Roman" w:eastAsia="方正小标宋简体"/>
          <w:sz w:val="44"/>
          <w:szCs w:val="44"/>
        </w:rPr>
        <w:t>决算公开编制说明</w:t>
      </w:r>
    </w:p>
    <w:p w14:paraId="151BF9CD">
      <w:pPr>
        <w:pStyle w:val="2"/>
        <w:ind w:firstLine="360"/>
      </w:pPr>
      <w:r>
        <w:br w:type="page"/>
      </w:r>
    </w:p>
    <w:p w14:paraId="657144F9">
      <w:pPr>
        <w:pStyle w:val="3"/>
        <w:ind w:left="640" w:firstLine="640"/>
      </w:pPr>
    </w:p>
    <w:p w14:paraId="634690FA">
      <w:pPr>
        <w:pStyle w:val="3"/>
        <w:ind w:left="640" w:firstLine="640"/>
      </w:pPr>
    </w:p>
    <w:p w14:paraId="0F1D26B5">
      <w:pPr>
        <w:pStyle w:val="3"/>
        <w:ind w:left="640" w:leftChars="178" w:hanging="70" w:hangingChars="22"/>
      </w:pPr>
    </w:p>
    <w:p w14:paraId="10BC3B5E">
      <w:pPr>
        <w:pStyle w:val="9"/>
        <w:spacing w:before="72"/>
        <w:ind w:firstLine="0" w:firstLineChars="0"/>
        <w:jc w:val="center"/>
        <w:rPr>
          <w:rFonts w:ascii="Times New Roman" w:eastAsia="方正小标宋简体"/>
          <w:sz w:val="44"/>
          <w:szCs w:val="44"/>
        </w:rPr>
      </w:pPr>
      <w:bookmarkStart w:id="0" w:name="_Toc15377426"/>
      <w:bookmarkStart w:id="1" w:name="_Toc15378442"/>
      <w:bookmarkStart w:id="2" w:name="_Toc15377194"/>
      <w:bookmarkStart w:id="3" w:name="_Toc15396476"/>
      <w:bookmarkStart w:id="4" w:name="_Toc15396598"/>
      <w:r>
        <w:rPr>
          <w:rFonts w:hint="eastAsia" w:ascii="Times New Roman" w:eastAsia="方正小标宋简体"/>
          <w:sz w:val="44"/>
          <w:szCs w:val="44"/>
        </w:rPr>
        <w:t>2025年度攀枝花市</w:t>
      </w:r>
      <w:bookmarkStart w:id="5" w:name="_Toc15306268"/>
      <w:r>
        <w:rPr>
          <w:rFonts w:hint="eastAsia" w:ascii="Times New Roman" w:eastAsia="方正小标宋简体"/>
          <w:sz w:val="44"/>
          <w:szCs w:val="44"/>
        </w:rPr>
        <w:t>森林病虫防治检疫站</w:t>
      </w:r>
    </w:p>
    <w:p w14:paraId="6D2E7D06">
      <w:pPr>
        <w:pStyle w:val="9"/>
        <w:spacing w:before="72"/>
        <w:ind w:firstLine="0" w:firstLineChars="0"/>
        <w:jc w:val="center"/>
        <w:rPr>
          <w:rFonts w:ascii="Times New Roman" w:eastAsia="方正小标宋简体"/>
          <w:sz w:val="44"/>
          <w:szCs w:val="44"/>
        </w:rPr>
      </w:pPr>
      <w:r>
        <w:rPr>
          <w:rFonts w:hint="eastAsia" w:ascii="Times New Roman" w:eastAsia="方正小标宋简体"/>
          <w:sz w:val="44"/>
          <w:szCs w:val="44"/>
        </w:rPr>
        <w:t>单位决算</w:t>
      </w:r>
      <w:bookmarkEnd w:id="0"/>
      <w:bookmarkEnd w:id="1"/>
      <w:bookmarkEnd w:id="2"/>
      <w:bookmarkEnd w:id="3"/>
      <w:bookmarkEnd w:id="4"/>
      <w:bookmarkEnd w:id="5"/>
    </w:p>
    <w:p w14:paraId="6E25CA9E">
      <w:pPr>
        <w:ind w:firstLine="720"/>
        <w:rPr>
          <w:rFonts w:ascii="Times New Roman" w:hAnsi="Times New Roman" w:eastAsia="方正小标宋简体"/>
          <w:sz w:val="36"/>
          <w:szCs w:val="36"/>
        </w:rPr>
      </w:pPr>
    </w:p>
    <w:p w14:paraId="4D86BE06">
      <w:pPr>
        <w:widowControl/>
        <w:ind w:firstLine="720"/>
        <w:jc w:val="center"/>
        <w:rPr>
          <w:rFonts w:ascii="Times New Roman" w:hAnsi="Times New Roman" w:eastAsia="方正小标宋简体"/>
          <w:sz w:val="36"/>
          <w:szCs w:val="36"/>
        </w:rPr>
      </w:pPr>
    </w:p>
    <w:p w14:paraId="7E9C7397">
      <w:pPr>
        <w:widowControl/>
        <w:tabs>
          <w:tab w:val="left" w:pos="1632"/>
        </w:tabs>
        <w:ind w:firstLine="720"/>
        <w:rPr>
          <w:rFonts w:ascii="Times New Roman" w:hAnsi="Times New Roman" w:eastAsia="方正小标宋简体"/>
          <w:sz w:val="36"/>
          <w:szCs w:val="36"/>
        </w:rPr>
      </w:pPr>
      <w:r>
        <w:rPr>
          <w:rFonts w:ascii="Times New Roman" w:hAnsi="Times New Roman" w:eastAsia="方正小标宋简体"/>
          <w:sz w:val="36"/>
          <w:szCs w:val="36"/>
        </w:rPr>
        <w:tab/>
      </w:r>
    </w:p>
    <w:p w14:paraId="6A59881B">
      <w:pPr>
        <w:widowControl/>
        <w:ind w:firstLine="720"/>
        <w:jc w:val="center"/>
        <w:rPr>
          <w:rFonts w:ascii="Times New Roman" w:hAnsi="Times New Roman" w:eastAsia="方正小标宋简体"/>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20" w:footer="720" w:gutter="0"/>
          <w:cols w:space="720" w:num="1"/>
          <w:docGrid w:type="lines" w:linePitch="312" w:charSpace="0"/>
        </w:sectPr>
      </w:pPr>
      <w:r>
        <w:rPr>
          <w:rFonts w:ascii="Times New Roman" w:hAnsi="Times New Roman" w:eastAsia="方正小标宋简体"/>
          <w:sz w:val="36"/>
          <w:szCs w:val="36"/>
        </w:rPr>
        <w:br w:type="page"/>
      </w:r>
    </w:p>
    <w:p w14:paraId="74D81978">
      <w:pPr>
        <w:widowControl/>
        <w:ind w:firstLine="960"/>
        <w:jc w:val="center"/>
        <w:rPr>
          <w:rFonts w:ascii="Times New Roman" w:hAnsi="Times New Roman" w:eastAsia="黑体"/>
          <w:sz w:val="48"/>
          <w:szCs w:val="48"/>
        </w:rPr>
      </w:pPr>
      <w:r>
        <w:rPr>
          <w:rFonts w:ascii="Times New Roman" w:hAnsi="Times New Roman" w:eastAsia="黑体"/>
          <w:sz w:val="48"/>
          <w:szCs w:val="48"/>
        </w:rPr>
        <w:t>目录</w:t>
      </w:r>
    </w:p>
    <w:p w14:paraId="284A90A7">
      <w:pPr>
        <w:widowControl/>
        <w:ind w:firstLine="560"/>
        <w:jc w:val="center"/>
        <w:rPr>
          <w:rFonts w:ascii="Times New Roman" w:hAnsi="Times New Roman" w:eastAsia="黑体"/>
          <w:sz w:val="28"/>
          <w:szCs w:val="28"/>
        </w:rPr>
      </w:pPr>
    </w:p>
    <w:p w14:paraId="4F9C11C9">
      <w:pPr>
        <w:pStyle w:val="16"/>
        <w:ind w:firstLine="0" w:firstLineChars="0"/>
        <w:jc w:val="center"/>
        <w:rPr>
          <w:rFonts w:ascii="Times New Roman" w:hAnsi="Times New Roman" w:eastAsia="仿宋_GB2312"/>
          <w:b w:val="0"/>
          <w:sz w:val="32"/>
          <w:szCs w:val="32"/>
        </w:rPr>
      </w:pPr>
      <w:r>
        <w:rPr>
          <w:rFonts w:ascii="Times New Roman" w:hAnsi="Times New Roman" w:eastAsia="仿宋_GB2312"/>
          <w:b w:val="0"/>
          <w:sz w:val="32"/>
          <w:szCs w:val="32"/>
        </w:rPr>
        <w:t>公开时间：2026年</w:t>
      </w:r>
      <w:r>
        <w:rPr>
          <w:rFonts w:hint="eastAsia" w:ascii="Times New Roman" w:hAnsi="Times New Roman" w:eastAsia="仿宋_GB2312"/>
          <w:b w:val="0"/>
          <w:sz w:val="32"/>
          <w:szCs w:val="32"/>
          <w:lang w:val="en-US" w:eastAsia="zh-CN"/>
        </w:rPr>
        <w:t>9</w:t>
      </w:r>
      <w:r>
        <w:rPr>
          <w:rFonts w:ascii="Times New Roman" w:hAnsi="Times New Roman" w:eastAsia="仿宋_GB2312"/>
          <w:b w:val="0"/>
          <w:sz w:val="32"/>
          <w:szCs w:val="32"/>
        </w:rPr>
        <w:t>月</w:t>
      </w:r>
      <w:r>
        <w:rPr>
          <w:rFonts w:hint="eastAsia" w:ascii="Times New Roman" w:hAnsi="Times New Roman" w:eastAsia="仿宋_GB2312"/>
          <w:b w:val="0"/>
          <w:sz w:val="32"/>
          <w:szCs w:val="32"/>
          <w:lang w:val="en-US" w:eastAsia="zh-CN"/>
        </w:rPr>
        <w:t>14</w:t>
      </w:r>
      <w:bookmarkStart w:id="38" w:name="_GoBack"/>
      <w:bookmarkEnd w:id="38"/>
      <w:r>
        <w:rPr>
          <w:rFonts w:ascii="Times New Roman" w:hAnsi="Times New Roman" w:eastAsia="仿宋_GB2312"/>
          <w:b w:val="0"/>
          <w:sz w:val="32"/>
          <w:szCs w:val="32"/>
        </w:rPr>
        <w:t>日</w:t>
      </w:r>
    </w:p>
    <w:p w14:paraId="1856156A">
      <w:pPr>
        <w:spacing w:line="440" w:lineRule="exact"/>
        <w:ind w:firstLine="0" w:firstLineChars="0"/>
        <w:rPr>
          <w:rFonts w:ascii="Times New Roman" w:hAnsi="Times New Roman"/>
        </w:rPr>
      </w:pPr>
    </w:p>
    <w:p w14:paraId="6DA53195">
      <w:pPr>
        <w:pStyle w:val="16"/>
        <w:tabs>
          <w:tab w:val="right" w:leader="dot" w:pos="8296"/>
        </w:tabs>
        <w:spacing w:line="440" w:lineRule="exact"/>
        <w:ind w:firstLine="0" w:firstLineChars="0"/>
        <w:jc w:val="both"/>
        <w:rPr>
          <w:rStyle w:val="26"/>
          <w:rFonts w:ascii="Times New Roman" w:hAnsi="Times New Roman" w:eastAsia="仿宋_GB2312"/>
          <w:b w:val="0"/>
          <w:sz w:val="30"/>
          <w:szCs w:val="30"/>
        </w:rPr>
      </w:pPr>
      <w:r>
        <w:rPr>
          <w:rFonts w:ascii="Times New Roman" w:hAnsi="Times New Roman" w:eastAsia="仿宋_GB2312"/>
          <w:b w:val="0"/>
          <w:sz w:val="30"/>
          <w:szCs w:val="30"/>
        </w:rPr>
        <w:fldChar w:fldCharType="begin"/>
      </w:r>
      <w:r>
        <w:rPr>
          <w:rFonts w:ascii="Times New Roman" w:hAnsi="Times New Roman" w:eastAsia="仿宋_GB2312"/>
          <w:b w:val="0"/>
          <w:sz w:val="30"/>
          <w:szCs w:val="30"/>
        </w:rPr>
        <w:instrText xml:space="preserve"> TOC \o "1-2" \h \z \u </w:instrText>
      </w:r>
      <w:r>
        <w:rPr>
          <w:rFonts w:ascii="Times New Roman" w:hAnsi="Times New Roman" w:eastAsia="仿宋_GB2312"/>
          <w:b w:val="0"/>
          <w:sz w:val="30"/>
          <w:szCs w:val="30"/>
        </w:rPr>
        <w:fldChar w:fldCharType="separate"/>
      </w:r>
      <w:r>
        <w:fldChar w:fldCharType="begin"/>
      </w:r>
      <w:r>
        <w:instrText xml:space="preserve"> HYPERLINK \l "_Toc207996173" </w:instrText>
      </w:r>
      <w:r>
        <w:fldChar w:fldCharType="separate"/>
      </w:r>
      <w:r>
        <w:rPr>
          <w:rStyle w:val="26"/>
          <w:rFonts w:ascii="Times New Roman" w:hAnsi="Times New Roman" w:eastAsia="黑体"/>
          <w:b w:val="0"/>
          <w:sz w:val="30"/>
          <w:szCs w:val="30"/>
        </w:rPr>
        <w:t>第一部分 单位概况</w:t>
      </w:r>
      <w:r>
        <w:rPr>
          <w:rStyle w:val="26"/>
          <w:rFonts w:ascii="Times New Roman" w:hAnsi="Times New Roman" w:eastAsia="仿宋_GB2312"/>
          <w:b w:val="0"/>
          <w:sz w:val="30"/>
          <w:szCs w:val="30"/>
        </w:rPr>
        <w:tab/>
      </w:r>
      <w:r>
        <w:rPr>
          <w:rStyle w:val="26"/>
          <w:rFonts w:ascii="Times New Roman" w:hAnsi="Times New Roman" w:eastAsia="仿宋_GB2312"/>
          <w:b w:val="0"/>
          <w:sz w:val="30"/>
          <w:szCs w:val="30"/>
        </w:rPr>
        <w:fldChar w:fldCharType="begin"/>
      </w:r>
      <w:r>
        <w:rPr>
          <w:rStyle w:val="26"/>
          <w:rFonts w:ascii="Times New Roman" w:hAnsi="Times New Roman" w:eastAsia="仿宋_GB2312"/>
          <w:b w:val="0"/>
          <w:sz w:val="30"/>
          <w:szCs w:val="30"/>
        </w:rPr>
        <w:instrText xml:space="preserve"> PAGEREF _Toc207996173 \h </w:instrText>
      </w:r>
      <w:r>
        <w:rPr>
          <w:rStyle w:val="26"/>
          <w:rFonts w:ascii="Times New Roman" w:hAnsi="Times New Roman" w:eastAsia="仿宋_GB2312"/>
          <w:b w:val="0"/>
          <w:sz w:val="30"/>
          <w:szCs w:val="30"/>
        </w:rPr>
        <w:fldChar w:fldCharType="separate"/>
      </w:r>
      <w:r>
        <w:rPr>
          <w:rStyle w:val="26"/>
          <w:rFonts w:ascii="Times New Roman" w:hAnsi="Times New Roman" w:eastAsia="仿宋_GB2312"/>
          <w:b w:val="0"/>
          <w:sz w:val="30"/>
          <w:szCs w:val="30"/>
        </w:rPr>
        <w:t>3</w:t>
      </w:r>
      <w:r>
        <w:rPr>
          <w:rStyle w:val="26"/>
          <w:rFonts w:ascii="Times New Roman" w:hAnsi="Times New Roman" w:eastAsia="仿宋_GB2312"/>
          <w:b w:val="0"/>
          <w:sz w:val="30"/>
          <w:szCs w:val="30"/>
        </w:rPr>
        <w:fldChar w:fldCharType="end"/>
      </w:r>
      <w:r>
        <w:rPr>
          <w:rStyle w:val="26"/>
          <w:rFonts w:ascii="Times New Roman" w:hAnsi="Times New Roman" w:eastAsia="仿宋_GB2312"/>
          <w:b w:val="0"/>
          <w:sz w:val="30"/>
          <w:szCs w:val="30"/>
        </w:rPr>
        <w:fldChar w:fldCharType="end"/>
      </w:r>
    </w:p>
    <w:p w14:paraId="08F2AC2D">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"_Toc207996174" </w:instrText>
      </w:r>
      <w:r>
        <w:fldChar w:fldCharType="separate"/>
      </w:r>
      <w:r>
        <w:rPr>
          <w:rStyle w:val="26"/>
          <w:rFonts w:ascii="Times New Roman" w:hAnsi="Times New Roman" w:eastAsia="仿宋_GB2312"/>
          <w:sz w:val="30"/>
          <w:szCs w:val="30"/>
        </w:rPr>
        <w:t>一、主要职责</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_Toc207996174 \h </w:instrText>
      </w:r>
      <w:r>
        <w:rPr>
          <w:rFonts w:ascii="Times New Roman" w:hAnsi="Times New Roman" w:eastAsia="仿宋_GB2312"/>
          <w:sz w:val="30"/>
          <w:szCs w:val="30"/>
        </w:rPr>
        <w:fldChar w:fldCharType="separate"/>
      </w:r>
      <w:r>
        <w:rPr>
          <w:rFonts w:ascii="Times New Roman" w:hAnsi="Times New Roman" w:eastAsia="仿宋_GB2312"/>
          <w:sz w:val="30"/>
          <w:szCs w:val="30"/>
        </w:rPr>
        <w:t>3</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EE13A68">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"_Toc207996175" </w:instrText>
      </w:r>
      <w:r>
        <w:fldChar w:fldCharType="separate"/>
      </w:r>
      <w:r>
        <w:rPr>
          <w:rStyle w:val="26"/>
          <w:rFonts w:ascii="Times New Roman" w:hAnsi="Times New Roman" w:eastAsia="仿宋_GB2312"/>
          <w:sz w:val="30"/>
          <w:szCs w:val="30"/>
        </w:rPr>
        <w:t>二、机构设置</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_Toc207996175 \h </w:instrText>
      </w:r>
      <w:r>
        <w:rPr>
          <w:rFonts w:ascii="Times New Roman" w:hAnsi="Times New Roman" w:eastAsia="仿宋_GB2312"/>
          <w:sz w:val="30"/>
          <w:szCs w:val="30"/>
        </w:rPr>
        <w:fldChar w:fldCharType="separate"/>
      </w:r>
      <w:r>
        <w:rPr>
          <w:rFonts w:ascii="Times New Roman" w:hAnsi="Times New Roman" w:eastAsia="仿宋_GB2312"/>
          <w:sz w:val="30"/>
          <w:szCs w:val="30"/>
        </w:rPr>
        <w:t>4</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6C6CB3F9">
      <w:pPr>
        <w:pStyle w:val="16"/>
        <w:tabs>
          <w:tab w:val="right" w:leader="dot" w:pos="8296"/>
        </w:tabs>
        <w:spacing w:line="440" w:lineRule="exact"/>
        <w:ind w:firstLine="0" w:firstLineChars="0"/>
        <w:jc w:val="both"/>
        <w:rPr>
          <w:rFonts w:ascii="Times New Roman" w:hAnsi="Times New Roman" w:eastAsia="仿宋_GB2312"/>
          <w:b w:val="0"/>
          <w:bCs w:val="0"/>
          <w:caps w:val="0"/>
          <w:sz w:val="30"/>
          <w:szCs w:val="30"/>
        </w:rPr>
      </w:pPr>
      <w:r>
        <w:fldChar w:fldCharType="begin"/>
      </w:r>
      <w:r>
        <w:instrText xml:space="preserve"> HYPERLINK \l "_Toc207996176" </w:instrText>
      </w:r>
      <w:r>
        <w:fldChar w:fldCharType="separate"/>
      </w:r>
      <w:r>
        <w:rPr>
          <w:rStyle w:val="26"/>
          <w:rFonts w:ascii="Times New Roman" w:hAnsi="Times New Roman" w:eastAsia="黑体"/>
          <w:b w:val="0"/>
          <w:sz w:val="30"/>
          <w:szCs w:val="30"/>
        </w:rPr>
        <w:t>第二部分 2024年度单位决算情况说明</w:t>
      </w:r>
      <w:r>
        <w:rPr>
          <w:rFonts w:ascii="Times New Roman" w:hAnsi="Times New Roman" w:eastAsia="仿宋_GB2312"/>
          <w:b w:val="0"/>
          <w:sz w:val="30"/>
          <w:szCs w:val="30"/>
        </w:rPr>
        <w:tab/>
      </w:r>
      <w:r>
        <w:rPr>
          <w:rFonts w:ascii="Times New Roman" w:hAnsi="Times New Roman" w:eastAsia="仿宋_GB2312"/>
          <w:b w:val="0"/>
          <w:sz w:val="30"/>
          <w:szCs w:val="30"/>
        </w:rPr>
        <w:fldChar w:fldCharType="begin"/>
      </w:r>
      <w:r>
        <w:rPr>
          <w:rFonts w:ascii="Times New Roman" w:hAnsi="Times New Roman" w:eastAsia="仿宋_GB2312"/>
          <w:b w:val="0"/>
          <w:sz w:val="30"/>
          <w:szCs w:val="30"/>
        </w:rPr>
        <w:instrText xml:space="preserve"> PAGEREF _Toc207996176 \h </w:instrText>
      </w:r>
      <w:r>
        <w:rPr>
          <w:rFonts w:ascii="Times New Roman" w:hAnsi="Times New Roman" w:eastAsia="仿宋_GB2312"/>
          <w:b w:val="0"/>
          <w:sz w:val="30"/>
          <w:szCs w:val="30"/>
        </w:rPr>
        <w:fldChar w:fldCharType="separate"/>
      </w:r>
      <w:r>
        <w:rPr>
          <w:rFonts w:ascii="Times New Roman" w:hAnsi="Times New Roman" w:eastAsia="仿宋_GB2312"/>
          <w:b w:val="0"/>
          <w:sz w:val="30"/>
          <w:szCs w:val="30"/>
        </w:rPr>
        <w:t>5</w:t>
      </w:r>
      <w:r>
        <w:rPr>
          <w:rFonts w:ascii="Times New Roman" w:hAnsi="Times New Roman" w:eastAsia="仿宋_GB2312"/>
          <w:b w:val="0"/>
          <w:sz w:val="30"/>
          <w:szCs w:val="30"/>
        </w:rPr>
        <w:fldChar w:fldCharType="end"/>
      </w:r>
      <w:r>
        <w:rPr>
          <w:rFonts w:ascii="Times New Roman" w:hAnsi="Times New Roman" w:eastAsia="仿宋_GB2312"/>
          <w:b w:val="0"/>
          <w:sz w:val="30"/>
          <w:szCs w:val="30"/>
        </w:rPr>
        <w:fldChar w:fldCharType="end"/>
      </w:r>
    </w:p>
    <w:p w14:paraId="6CA15FD7">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"_Toc207996177" </w:instrText>
      </w:r>
      <w:r>
        <w:fldChar w:fldCharType="separate"/>
      </w:r>
      <w:r>
        <w:rPr>
          <w:rStyle w:val="26"/>
          <w:rFonts w:ascii="Times New Roman" w:hAnsi="Times New Roman" w:eastAsia="仿宋_GB2312"/>
          <w:sz w:val="30"/>
          <w:szCs w:val="30"/>
        </w:rPr>
        <w:t>一、收</w:t>
      </w:r>
      <w:r>
        <w:rPr>
          <w:rStyle w:val="26"/>
          <w:rFonts w:ascii="Times New Roman" w:hAnsi="Times New Roman" w:eastAsia="仿宋_GB2312"/>
          <w:bCs/>
          <w:sz w:val="30"/>
          <w:szCs w:val="30"/>
        </w:rPr>
        <w:t>入支出决算总体情况说明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_Toc207996177 \h </w:instrText>
      </w:r>
      <w:r>
        <w:rPr>
          <w:rFonts w:ascii="Times New Roman" w:hAnsi="Times New Roman" w:eastAsia="仿宋_GB2312"/>
          <w:sz w:val="30"/>
          <w:szCs w:val="30"/>
        </w:rPr>
        <w:fldChar w:fldCharType="separate"/>
      </w:r>
      <w:r>
        <w:rPr>
          <w:rFonts w:ascii="Times New Roman" w:hAnsi="Times New Roman" w:eastAsia="仿宋_GB2312"/>
          <w:sz w:val="30"/>
          <w:szCs w:val="30"/>
        </w:rPr>
        <w:t>5</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4445BD29">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"_Toc207996178" </w:instrText>
      </w:r>
      <w:r>
        <w:fldChar w:fldCharType="separate"/>
      </w:r>
      <w:r>
        <w:rPr>
          <w:rStyle w:val="26"/>
          <w:rFonts w:ascii="Times New Roman" w:hAnsi="Times New Roman" w:eastAsia="仿宋_GB2312"/>
          <w:sz w:val="30"/>
          <w:szCs w:val="30"/>
        </w:rPr>
        <w:t>二、收</w:t>
      </w:r>
      <w:r>
        <w:rPr>
          <w:rStyle w:val="26"/>
          <w:rFonts w:ascii="Times New Roman" w:hAnsi="Times New Roman" w:eastAsia="仿宋_GB2312"/>
          <w:bCs/>
          <w:sz w:val="30"/>
          <w:szCs w:val="30"/>
        </w:rPr>
        <w:t>入决算情况说明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_Toc207996178 \h </w:instrText>
      </w:r>
      <w:r>
        <w:rPr>
          <w:rFonts w:ascii="Times New Roman" w:hAnsi="Times New Roman" w:eastAsia="仿宋_GB2312"/>
          <w:sz w:val="30"/>
          <w:szCs w:val="30"/>
        </w:rPr>
        <w:fldChar w:fldCharType="separate"/>
      </w:r>
      <w:r>
        <w:rPr>
          <w:rFonts w:ascii="Times New Roman" w:hAnsi="Times New Roman" w:eastAsia="仿宋_GB2312"/>
          <w:sz w:val="30"/>
          <w:szCs w:val="30"/>
        </w:rPr>
        <w:t>5</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5D08381">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"_Toc207996179" </w:instrText>
      </w:r>
      <w:r>
        <w:fldChar w:fldCharType="separate"/>
      </w:r>
      <w:r>
        <w:rPr>
          <w:rStyle w:val="26"/>
          <w:rFonts w:ascii="Times New Roman" w:hAnsi="Times New Roman" w:eastAsia="仿宋_GB2312"/>
          <w:sz w:val="30"/>
          <w:szCs w:val="30"/>
        </w:rPr>
        <w:t>三、支出决算情况说明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_Toc207996179 \h </w:instrText>
      </w:r>
      <w:r>
        <w:rPr>
          <w:rFonts w:ascii="Times New Roman" w:hAnsi="Times New Roman" w:eastAsia="仿宋_GB2312"/>
          <w:sz w:val="30"/>
          <w:szCs w:val="30"/>
        </w:rPr>
        <w:fldChar w:fldCharType="separate"/>
      </w:r>
      <w:r>
        <w:rPr>
          <w:rFonts w:ascii="Times New Roman" w:hAnsi="Times New Roman" w:eastAsia="仿宋_GB2312"/>
          <w:sz w:val="30"/>
          <w:szCs w:val="30"/>
        </w:rPr>
        <w:t>6</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6B878164">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"_Toc207996180" </w:instrText>
      </w:r>
      <w:r>
        <w:fldChar w:fldCharType="separate"/>
      </w:r>
      <w:r>
        <w:rPr>
          <w:rStyle w:val="26"/>
          <w:rFonts w:ascii="Times New Roman" w:hAnsi="Times New Roman" w:eastAsia="仿宋_GB2312"/>
          <w:sz w:val="30"/>
          <w:szCs w:val="30"/>
        </w:rPr>
        <w:t>四、财</w:t>
      </w:r>
      <w:r>
        <w:rPr>
          <w:rStyle w:val="26"/>
          <w:rFonts w:ascii="Times New Roman" w:hAnsi="Times New Roman" w:eastAsia="仿宋_GB2312"/>
          <w:bCs/>
          <w:sz w:val="30"/>
          <w:szCs w:val="30"/>
        </w:rPr>
        <w:t>政拨款收入支出决算总体情况说明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_Toc207996180 \h </w:instrText>
      </w:r>
      <w:r>
        <w:rPr>
          <w:rFonts w:ascii="Times New Roman" w:hAnsi="Times New Roman" w:eastAsia="仿宋_GB2312"/>
          <w:sz w:val="30"/>
          <w:szCs w:val="30"/>
        </w:rPr>
        <w:fldChar w:fldCharType="separate"/>
      </w:r>
      <w:r>
        <w:rPr>
          <w:rFonts w:ascii="Times New Roman" w:hAnsi="Times New Roman" w:eastAsia="仿宋_GB2312"/>
          <w:sz w:val="30"/>
          <w:szCs w:val="30"/>
        </w:rPr>
        <w:t>6</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2BF5EE61">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"_Toc207996181" </w:instrText>
      </w:r>
      <w:r>
        <w:fldChar w:fldCharType="separate"/>
      </w:r>
      <w:r>
        <w:rPr>
          <w:rStyle w:val="26"/>
          <w:rFonts w:ascii="Times New Roman" w:hAnsi="Times New Roman" w:eastAsia="仿宋_GB2312"/>
          <w:sz w:val="30"/>
          <w:szCs w:val="30"/>
        </w:rPr>
        <w:t>五、一</w:t>
      </w:r>
      <w:r>
        <w:rPr>
          <w:rStyle w:val="26"/>
          <w:rFonts w:ascii="Times New Roman" w:hAnsi="Times New Roman" w:eastAsia="仿宋_GB2312"/>
          <w:bCs/>
          <w:sz w:val="30"/>
          <w:szCs w:val="30"/>
        </w:rPr>
        <w:t>般公共预算财政拨款支出决算情况说明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_Toc207996181 \h </w:instrText>
      </w:r>
      <w:r>
        <w:rPr>
          <w:rFonts w:ascii="Times New Roman" w:hAnsi="Times New Roman" w:eastAsia="仿宋_GB2312"/>
          <w:sz w:val="30"/>
          <w:szCs w:val="30"/>
        </w:rPr>
        <w:fldChar w:fldCharType="separate"/>
      </w:r>
      <w:r>
        <w:rPr>
          <w:rFonts w:ascii="Times New Roman" w:hAnsi="Times New Roman" w:eastAsia="仿宋_GB2312"/>
          <w:sz w:val="30"/>
          <w:szCs w:val="30"/>
        </w:rPr>
        <w:t>7</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23C5AFDF">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"_Toc207996182" </w:instrText>
      </w:r>
      <w:r>
        <w:fldChar w:fldCharType="separate"/>
      </w:r>
      <w:r>
        <w:rPr>
          <w:rStyle w:val="26"/>
          <w:rFonts w:ascii="Times New Roman" w:hAnsi="Times New Roman" w:eastAsia="仿宋_GB2312"/>
          <w:sz w:val="30"/>
          <w:szCs w:val="30"/>
        </w:rPr>
        <w:t>六、一</w:t>
      </w:r>
      <w:r>
        <w:rPr>
          <w:rStyle w:val="26"/>
          <w:rFonts w:ascii="Times New Roman" w:hAnsi="Times New Roman" w:eastAsia="仿宋_GB2312"/>
          <w:bCs/>
          <w:sz w:val="30"/>
          <w:szCs w:val="30"/>
        </w:rPr>
        <w:t>般公共预算财政拨款基本支出决算情况说明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_Toc207996182 \h </w:instrText>
      </w:r>
      <w:r>
        <w:rPr>
          <w:rFonts w:ascii="Times New Roman" w:hAnsi="Times New Roman" w:eastAsia="仿宋_GB2312"/>
          <w:sz w:val="30"/>
          <w:szCs w:val="30"/>
        </w:rPr>
        <w:fldChar w:fldCharType="separate"/>
      </w:r>
      <w:r>
        <w:rPr>
          <w:rFonts w:ascii="Times New Roman" w:hAnsi="Times New Roman" w:eastAsia="仿宋_GB2312"/>
          <w:sz w:val="30"/>
          <w:szCs w:val="30"/>
        </w:rPr>
        <w:t>9</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24ABEE04">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"_Toc207996183" </w:instrText>
      </w:r>
      <w:r>
        <w:fldChar w:fldCharType="separate"/>
      </w:r>
      <w:r>
        <w:rPr>
          <w:rStyle w:val="26"/>
          <w:rFonts w:ascii="Times New Roman" w:hAnsi="Times New Roman" w:eastAsia="仿宋_GB2312"/>
          <w:sz w:val="30"/>
          <w:szCs w:val="30"/>
        </w:rPr>
        <w:t>七、</w:t>
      </w:r>
      <w:r>
        <w:rPr>
          <w:rStyle w:val="26"/>
          <w:rFonts w:ascii="Times New Roman" w:hAnsi="Times New Roman" w:eastAsia="仿宋_GB2312"/>
          <w:bCs/>
          <w:sz w:val="30"/>
          <w:szCs w:val="30"/>
        </w:rPr>
        <w:t>财政拨款“三公”经费支出决算情况说明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_Toc207996183 \h </w:instrText>
      </w:r>
      <w:r>
        <w:rPr>
          <w:rFonts w:ascii="Times New Roman" w:hAnsi="Times New Roman" w:eastAsia="仿宋_GB2312"/>
          <w:sz w:val="30"/>
          <w:szCs w:val="30"/>
        </w:rPr>
        <w:fldChar w:fldCharType="separate"/>
      </w:r>
      <w:r>
        <w:rPr>
          <w:rFonts w:ascii="Times New Roman" w:hAnsi="Times New Roman" w:eastAsia="仿宋_GB2312"/>
          <w:sz w:val="30"/>
          <w:szCs w:val="30"/>
        </w:rPr>
        <w:t>9</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0D820B66">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"_Toc207996184" </w:instrText>
      </w:r>
      <w:r>
        <w:fldChar w:fldCharType="separate"/>
      </w:r>
      <w:r>
        <w:rPr>
          <w:rStyle w:val="26"/>
          <w:rFonts w:ascii="Times New Roman" w:hAnsi="Times New Roman" w:eastAsia="仿宋_GB2312"/>
          <w:sz w:val="30"/>
          <w:szCs w:val="30"/>
        </w:rPr>
        <w:t>八、</w:t>
      </w:r>
      <w:r>
        <w:rPr>
          <w:rStyle w:val="26"/>
          <w:rFonts w:ascii="Times New Roman" w:hAnsi="Times New Roman" w:eastAsia="仿宋_GB2312"/>
          <w:bCs/>
          <w:sz w:val="30"/>
          <w:szCs w:val="30"/>
        </w:rPr>
        <w:t>政府性基金预算支出决算情况说明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_Toc207996184 \h </w:instrText>
      </w:r>
      <w:r>
        <w:rPr>
          <w:rFonts w:ascii="Times New Roman" w:hAnsi="Times New Roman" w:eastAsia="仿宋_GB2312"/>
          <w:sz w:val="30"/>
          <w:szCs w:val="30"/>
        </w:rPr>
        <w:fldChar w:fldCharType="separate"/>
      </w:r>
      <w:r>
        <w:rPr>
          <w:rFonts w:ascii="Times New Roman" w:hAnsi="Times New Roman" w:eastAsia="仿宋_GB2312"/>
          <w:sz w:val="30"/>
          <w:szCs w:val="30"/>
        </w:rPr>
        <w:t>11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1F396999">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"_Toc207996185" </w:instrText>
      </w:r>
      <w:r>
        <w:fldChar w:fldCharType="separate"/>
      </w:r>
      <w:r>
        <w:rPr>
          <w:rStyle w:val="26"/>
          <w:rFonts w:ascii="Times New Roman" w:hAnsi="Times New Roman" w:eastAsia="仿宋_GB2312"/>
          <w:bCs/>
          <w:sz w:val="30"/>
          <w:szCs w:val="30"/>
        </w:rPr>
        <w:t>九、国有资本经营预算支出决算情况说明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_Toc207996185 \h </w:instrText>
      </w:r>
      <w:r>
        <w:rPr>
          <w:rFonts w:ascii="Times New Roman" w:hAnsi="Times New Roman" w:eastAsia="仿宋_GB2312"/>
          <w:sz w:val="30"/>
          <w:szCs w:val="30"/>
        </w:rPr>
        <w:fldChar w:fldCharType="separate"/>
      </w:r>
      <w:r>
        <w:rPr>
          <w:rFonts w:ascii="Times New Roman" w:hAnsi="Times New Roman" w:eastAsia="仿宋_GB2312"/>
          <w:sz w:val="30"/>
          <w:szCs w:val="30"/>
        </w:rPr>
        <w:t>11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34D10DAE">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"_Toc207996186" </w:instrText>
      </w:r>
      <w:r>
        <w:fldChar w:fldCharType="separate"/>
      </w:r>
      <w:r>
        <w:rPr>
          <w:rStyle w:val="26"/>
          <w:rFonts w:ascii="Times New Roman" w:hAnsi="Times New Roman" w:eastAsia="仿宋_GB2312"/>
          <w:bCs/>
          <w:sz w:val="30"/>
          <w:szCs w:val="30"/>
        </w:rPr>
        <w:t>十、其他重要事项的情况说明</w:t>
      </w:r>
      <w:r>
        <w:rPr>
          <w:rFonts w:ascii="Times New Roman" w:hAnsi="Times New Roman" w:eastAsia="仿宋_GB2312"/>
          <w:sz w:val="30"/>
          <w:szCs w:val="30"/>
        </w:rPr>
        <w:tab/>
      </w:r>
      <w:r>
        <w:rPr>
          <w:rFonts w:ascii="Times New Roman" w:hAnsi="Times New Roman" w:eastAsia="仿宋_GB2312"/>
          <w:sz w:val="30"/>
          <w:szCs w:val="30"/>
        </w:rPr>
        <w:fldChar w:fldCharType="begin"/>
      </w:r>
      <w:r>
        <w:rPr>
          <w:rFonts w:ascii="Times New Roman" w:hAnsi="Times New Roman" w:eastAsia="仿宋_GB2312"/>
          <w:sz w:val="30"/>
          <w:szCs w:val="30"/>
        </w:rPr>
        <w:instrText xml:space="preserve"> PAGEREF _Toc207996186 \h </w:instrText>
      </w:r>
      <w:r>
        <w:rPr>
          <w:rFonts w:ascii="Times New Roman" w:hAnsi="Times New Roman" w:eastAsia="仿宋_GB2312"/>
          <w:sz w:val="30"/>
          <w:szCs w:val="30"/>
        </w:rPr>
        <w:fldChar w:fldCharType="separate"/>
      </w:r>
      <w:r>
        <w:rPr>
          <w:rFonts w:ascii="Times New Roman" w:hAnsi="Times New Roman" w:eastAsia="仿宋_GB2312"/>
          <w:sz w:val="30"/>
          <w:szCs w:val="30"/>
        </w:rPr>
        <w:t>11</w:t>
      </w:r>
      <w:r>
        <w:rPr>
          <w:rFonts w:ascii="Times New Roman" w:hAnsi="Times New Roman" w:eastAsia="仿宋_GB2312"/>
          <w:sz w:val="30"/>
          <w:szCs w:val="30"/>
        </w:rPr>
        <w:fldChar w:fldCharType="end"/>
      </w:r>
      <w:r>
        <w:rPr>
          <w:rFonts w:ascii="Times New Roman" w:hAnsi="Times New Roman" w:eastAsia="仿宋_GB2312"/>
          <w:sz w:val="30"/>
          <w:szCs w:val="30"/>
        </w:rPr>
        <w:fldChar w:fldCharType="end"/>
      </w:r>
    </w:p>
    <w:p w14:paraId="226A09BD">
      <w:pPr>
        <w:pStyle w:val="16"/>
        <w:tabs>
          <w:tab w:val="right" w:leader="dot" w:pos="8296"/>
        </w:tabs>
        <w:spacing w:line="440" w:lineRule="exact"/>
        <w:ind w:firstLine="0" w:firstLineChars="0"/>
        <w:jc w:val="both"/>
        <w:rPr>
          <w:rFonts w:ascii="Times New Roman" w:hAnsi="Times New Roman" w:eastAsia="仿宋_GB2312"/>
          <w:b w:val="0"/>
          <w:bCs w:val="0"/>
          <w:caps w:val="0"/>
          <w:sz w:val="30"/>
          <w:szCs w:val="30"/>
        </w:rPr>
      </w:pPr>
      <w:r>
        <w:fldChar w:fldCharType="begin"/>
      </w:r>
      <w:r>
        <w:instrText xml:space="preserve"> HYPERLINK \l "_Toc207996187" </w:instrText>
      </w:r>
      <w:r>
        <w:fldChar w:fldCharType="separate"/>
      </w:r>
      <w:r>
        <w:rPr>
          <w:rStyle w:val="26"/>
          <w:rFonts w:ascii="Times New Roman" w:hAnsi="Times New Roman" w:eastAsia="黑体"/>
          <w:b w:val="0"/>
          <w:sz w:val="30"/>
          <w:szCs w:val="30"/>
        </w:rPr>
        <w:t>第三部分 名</w:t>
      </w:r>
      <w:r>
        <w:rPr>
          <w:rStyle w:val="26"/>
          <w:rFonts w:ascii="Times New Roman" w:hAnsi="Times New Roman" w:eastAsia="黑体"/>
          <w:b w:val="0"/>
          <w:kern w:val="44"/>
          <w:sz w:val="30"/>
          <w:szCs w:val="30"/>
        </w:rPr>
        <w:t>词解释</w:t>
      </w:r>
      <w:r>
        <w:rPr>
          <w:rFonts w:ascii="Times New Roman" w:hAnsi="Times New Roman" w:eastAsia="仿宋_GB2312"/>
          <w:b w:val="0"/>
          <w:sz w:val="30"/>
          <w:szCs w:val="30"/>
        </w:rPr>
        <w:tab/>
      </w:r>
      <w:r>
        <w:rPr>
          <w:rFonts w:ascii="Times New Roman" w:hAnsi="Times New Roman" w:eastAsia="仿宋_GB2312"/>
          <w:b w:val="0"/>
          <w:sz w:val="30"/>
          <w:szCs w:val="30"/>
        </w:rPr>
        <w:fldChar w:fldCharType="begin"/>
      </w:r>
      <w:r>
        <w:rPr>
          <w:rFonts w:ascii="Times New Roman" w:hAnsi="Times New Roman" w:eastAsia="仿宋_GB2312"/>
          <w:b w:val="0"/>
          <w:sz w:val="30"/>
          <w:szCs w:val="30"/>
        </w:rPr>
        <w:instrText xml:space="preserve"> PAGEREF _Toc207996187 \h </w:instrText>
      </w:r>
      <w:r>
        <w:rPr>
          <w:rFonts w:ascii="Times New Roman" w:hAnsi="Times New Roman" w:eastAsia="仿宋_GB2312"/>
          <w:b w:val="0"/>
          <w:sz w:val="30"/>
          <w:szCs w:val="30"/>
        </w:rPr>
        <w:fldChar w:fldCharType="separate"/>
      </w:r>
      <w:r>
        <w:rPr>
          <w:rFonts w:ascii="Times New Roman" w:hAnsi="Times New Roman" w:eastAsia="仿宋_GB2312"/>
          <w:b w:val="0"/>
          <w:sz w:val="30"/>
          <w:szCs w:val="30"/>
        </w:rPr>
        <w:t>13</w:t>
      </w:r>
      <w:r>
        <w:rPr>
          <w:rFonts w:ascii="Times New Roman" w:hAnsi="Times New Roman" w:eastAsia="仿宋_GB2312"/>
          <w:b w:val="0"/>
          <w:sz w:val="30"/>
          <w:szCs w:val="30"/>
        </w:rPr>
        <w:fldChar w:fldCharType="end"/>
      </w:r>
      <w:r>
        <w:rPr>
          <w:rFonts w:ascii="Times New Roman" w:hAnsi="Times New Roman" w:eastAsia="仿宋_GB2312"/>
          <w:b w:val="0"/>
          <w:sz w:val="30"/>
          <w:szCs w:val="30"/>
        </w:rPr>
        <w:fldChar w:fldCharType="end"/>
      </w:r>
    </w:p>
    <w:p w14:paraId="4632E994">
      <w:pPr>
        <w:pStyle w:val="16"/>
        <w:tabs>
          <w:tab w:val="right" w:leader="dot" w:pos="8296"/>
        </w:tabs>
        <w:spacing w:line="440" w:lineRule="exact"/>
        <w:ind w:firstLine="0" w:firstLineChars="0"/>
        <w:jc w:val="both"/>
        <w:rPr>
          <w:rFonts w:ascii="Times New Roman" w:hAnsi="Times New Roman" w:eastAsia="仿宋_GB2312"/>
          <w:b w:val="0"/>
          <w:bCs w:val="0"/>
          <w:caps w:val="0"/>
          <w:sz w:val="30"/>
          <w:szCs w:val="30"/>
        </w:rPr>
      </w:pPr>
      <w:r>
        <w:fldChar w:fldCharType="begin"/>
      </w:r>
      <w:r>
        <w:instrText xml:space="preserve"> HYPERLINK \l "_Toc207996188" </w:instrText>
      </w:r>
      <w:r>
        <w:fldChar w:fldCharType="separate"/>
      </w:r>
      <w:r>
        <w:rPr>
          <w:rStyle w:val="26"/>
          <w:rFonts w:ascii="Times New Roman" w:hAnsi="Times New Roman" w:eastAsia="黑体"/>
          <w:b w:val="0"/>
          <w:sz w:val="30"/>
          <w:szCs w:val="30"/>
        </w:rPr>
        <w:t>第四部分 附件</w:t>
      </w:r>
      <w:r>
        <w:rPr>
          <w:rFonts w:ascii="Times New Roman" w:hAnsi="Times New Roman" w:eastAsia="仿宋_GB2312"/>
          <w:b w:val="0"/>
          <w:sz w:val="30"/>
          <w:szCs w:val="30"/>
        </w:rPr>
        <w:tab/>
      </w:r>
      <w:r>
        <w:rPr>
          <w:rFonts w:ascii="Times New Roman" w:hAnsi="Times New Roman" w:eastAsia="仿宋_GB2312"/>
          <w:b w:val="0"/>
          <w:sz w:val="30"/>
          <w:szCs w:val="30"/>
        </w:rPr>
        <w:fldChar w:fldCharType="begin"/>
      </w:r>
      <w:r>
        <w:rPr>
          <w:rFonts w:ascii="Times New Roman" w:hAnsi="Times New Roman" w:eastAsia="仿宋_GB2312"/>
          <w:b w:val="0"/>
          <w:sz w:val="30"/>
          <w:szCs w:val="30"/>
        </w:rPr>
        <w:instrText xml:space="preserve"> PAGEREF _Toc207996188 \h </w:instrText>
      </w:r>
      <w:r>
        <w:rPr>
          <w:rFonts w:ascii="Times New Roman" w:hAnsi="Times New Roman" w:eastAsia="仿宋_GB2312"/>
          <w:b w:val="0"/>
          <w:sz w:val="30"/>
          <w:szCs w:val="30"/>
        </w:rPr>
        <w:fldChar w:fldCharType="separate"/>
      </w:r>
      <w:r>
        <w:rPr>
          <w:rFonts w:ascii="Times New Roman" w:hAnsi="Times New Roman" w:eastAsia="仿宋_GB2312"/>
          <w:b w:val="0"/>
          <w:sz w:val="30"/>
          <w:szCs w:val="30"/>
        </w:rPr>
        <w:t>15</w:t>
      </w:r>
      <w:r>
        <w:rPr>
          <w:rFonts w:ascii="Times New Roman" w:hAnsi="Times New Roman" w:eastAsia="仿宋_GB2312"/>
          <w:b w:val="0"/>
          <w:sz w:val="30"/>
          <w:szCs w:val="30"/>
        </w:rPr>
        <w:fldChar w:fldCharType="end"/>
      </w:r>
      <w:r>
        <w:rPr>
          <w:rFonts w:ascii="Times New Roman" w:hAnsi="Times New Roman" w:eastAsia="仿宋_GB2312"/>
          <w:b w:val="0"/>
          <w:sz w:val="30"/>
          <w:szCs w:val="30"/>
        </w:rPr>
        <w:fldChar w:fldCharType="end"/>
      </w:r>
    </w:p>
    <w:p w14:paraId="648740D7">
      <w:pPr>
        <w:pStyle w:val="16"/>
        <w:tabs>
          <w:tab w:val="right" w:leader="dot" w:pos="8296"/>
        </w:tabs>
        <w:spacing w:line="440" w:lineRule="exact"/>
        <w:ind w:firstLine="0" w:firstLineChars="0"/>
        <w:jc w:val="both"/>
        <w:rPr>
          <w:rFonts w:ascii="Times New Roman" w:hAnsi="Times New Roman" w:eastAsia="仿宋_GB2312"/>
          <w:b w:val="0"/>
          <w:bCs w:val="0"/>
          <w:caps w:val="0"/>
          <w:sz w:val="30"/>
          <w:szCs w:val="30"/>
        </w:rPr>
      </w:pPr>
      <w:r>
        <w:fldChar w:fldCharType="begin"/>
      </w:r>
      <w:r>
        <w:instrText xml:space="preserve"> HYPERLINK \l "_Toc207996189" </w:instrText>
      </w:r>
      <w:r>
        <w:fldChar w:fldCharType="separate"/>
      </w:r>
      <w:r>
        <w:rPr>
          <w:rStyle w:val="26"/>
          <w:rFonts w:ascii="Times New Roman" w:hAnsi="Times New Roman" w:eastAsia="黑体"/>
          <w:b w:val="0"/>
          <w:sz w:val="30"/>
          <w:szCs w:val="30"/>
        </w:rPr>
        <w:t>第五部分 附表</w:t>
      </w:r>
      <w:r>
        <w:rPr>
          <w:rFonts w:ascii="Times New Roman" w:hAnsi="Times New Roman" w:eastAsia="仿宋_GB2312"/>
          <w:b w:val="0"/>
          <w:sz w:val="30"/>
          <w:szCs w:val="30"/>
        </w:rPr>
        <w:tab/>
      </w:r>
      <w:r>
        <w:rPr>
          <w:rFonts w:ascii="Times New Roman" w:hAnsi="Times New Roman" w:eastAsia="仿宋_GB2312"/>
          <w:b w:val="0"/>
          <w:sz w:val="30"/>
          <w:szCs w:val="30"/>
        </w:rPr>
        <w:fldChar w:fldCharType="begin"/>
      </w:r>
      <w:r>
        <w:rPr>
          <w:rFonts w:ascii="Times New Roman" w:hAnsi="Times New Roman" w:eastAsia="仿宋_GB2312"/>
          <w:b w:val="0"/>
          <w:sz w:val="30"/>
          <w:szCs w:val="30"/>
        </w:rPr>
        <w:instrText xml:space="preserve"> PAGEREF _Toc207996189 \h </w:instrText>
      </w:r>
      <w:r>
        <w:rPr>
          <w:rFonts w:ascii="Times New Roman" w:hAnsi="Times New Roman" w:eastAsia="仿宋_GB2312"/>
          <w:b w:val="0"/>
          <w:sz w:val="30"/>
          <w:szCs w:val="30"/>
        </w:rPr>
        <w:fldChar w:fldCharType="separate"/>
      </w:r>
      <w:r>
        <w:rPr>
          <w:rFonts w:ascii="Times New Roman" w:hAnsi="Times New Roman" w:eastAsia="仿宋_GB2312"/>
          <w:b w:val="0"/>
          <w:sz w:val="30"/>
          <w:szCs w:val="30"/>
        </w:rPr>
        <w:t>16</w:t>
      </w:r>
      <w:r>
        <w:rPr>
          <w:rFonts w:ascii="Times New Roman" w:hAnsi="Times New Roman" w:eastAsia="仿宋_GB2312"/>
          <w:b w:val="0"/>
          <w:sz w:val="30"/>
          <w:szCs w:val="30"/>
        </w:rPr>
        <w:fldChar w:fldCharType="end"/>
      </w:r>
      <w:r>
        <w:rPr>
          <w:rFonts w:ascii="Times New Roman" w:hAnsi="Times New Roman" w:eastAsia="仿宋_GB2312"/>
          <w:b w:val="0"/>
          <w:sz w:val="30"/>
          <w:szCs w:val="30"/>
        </w:rPr>
        <w:fldChar w:fldCharType="end"/>
      </w:r>
    </w:p>
    <w:p w14:paraId="16BFFB52">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"_Toc207996190" </w:instrText>
      </w:r>
      <w:r>
        <w:fldChar w:fldCharType="separate"/>
      </w:r>
      <w:r>
        <w:rPr>
          <w:rStyle w:val="26"/>
          <w:rFonts w:ascii="Times New Roman" w:hAnsi="Times New Roman" w:eastAsia="仿宋_GB2312"/>
          <w:sz w:val="30"/>
          <w:szCs w:val="30"/>
        </w:rPr>
        <w:t>一、收入支出决算总表</w:t>
      </w:r>
      <w:r>
        <w:rPr>
          <w:rFonts w:ascii="Times New Roman" w:hAnsi="Times New Roman" w:eastAsia="仿宋_GB2312"/>
          <w:sz w:val="30"/>
          <w:szCs w:val="30"/>
        </w:rPr>
        <w:fldChar w:fldCharType="end"/>
      </w:r>
    </w:p>
    <w:p w14:paraId="3AAC8C80">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"_Toc207996191" </w:instrText>
      </w:r>
      <w:r>
        <w:fldChar w:fldCharType="separate"/>
      </w:r>
      <w:r>
        <w:rPr>
          <w:rStyle w:val="26"/>
          <w:rFonts w:ascii="Times New Roman" w:hAnsi="Times New Roman" w:eastAsia="仿宋_GB2312"/>
          <w:sz w:val="30"/>
          <w:szCs w:val="30"/>
        </w:rPr>
        <w:t>二、收入决算表</w:t>
      </w:r>
      <w:r>
        <w:rPr>
          <w:rFonts w:ascii="Times New Roman" w:hAnsi="Times New Roman" w:eastAsia="仿宋_GB2312"/>
          <w:sz w:val="30"/>
          <w:szCs w:val="30"/>
        </w:rPr>
        <w:fldChar w:fldCharType="end"/>
      </w:r>
    </w:p>
    <w:p w14:paraId="458F266F">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"_Toc207996192" </w:instrText>
      </w:r>
      <w:r>
        <w:fldChar w:fldCharType="separate"/>
      </w:r>
      <w:r>
        <w:rPr>
          <w:rStyle w:val="26"/>
          <w:rFonts w:ascii="Times New Roman" w:hAnsi="Times New Roman" w:eastAsia="仿宋_GB2312"/>
          <w:sz w:val="30"/>
          <w:szCs w:val="30"/>
        </w:rPr>
        <w:t>三、支出决算表</w:t>
      </w:r>
      <w:r>
        <w:rPr>
          <w:rFonts w:ascii="Times New Roman" w:hAnsi="Times New Roman" w:eastAsia="仿宋_GB2312"/>
          <w:sz w:val="30"/>
          <w:szCs w:val="30"/>
        </w:rPr>
        <w:fldChar w:fldCharType="end"/>
      </w:r>
    </w:p>
    <w:p w14:paraId="578AB26E">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"_Toc207996193" </w:instrText>
      </w:r>
      <w:r>
        <w:fldChar w:fldCharType="separate"/>
      </w:r>
      <w:r>
        <w:rPr>
          <w:rStyle w:val="26"/>
          <w:rFonts w:ascii="Times New Roman" w:hAnsi="Times New Roman" w:eastAsia="仿宋_GB2312"/>
          <w:sz w:val="30"/>
          <w:szCs w:val="30"/>
        </w:rPr>
        <w:t>四、财政拨款收入支出决算总表</w:t>
      </w:r>
      <w:r>
        <w:rPr>
          <w:rFonts w:ascii="Times New Roman" w:hAnsi="Times New Roman" w:eastAsia="仿宋_GB2312"/>
          <w:sz w:val="30"/>
          <w:szCs w:val="30"/>
        </w:rPr>
        <w:fldChar w:fldCharType="end"/>
      </w:r>
    </w:p>
    <w:p w14:paraId="57B623FE">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"_Toc207996194" </w:instrText>
      </w:r>
      <w:r>
        <w:fldChar w:fldCharType="separate"/>
      </w:r>
      <w:r>
        <w:rPr>
          <w:rStyle w:val="26"/>
          <w:rFonts w:ascii="Times New Roman" w:hAnsi="Times New Roman" w:eastAsia="仿宋_GB2312"/>
          <w:sz w:val="30"/>
          <w:szCs w:val="30"/>
        </w:rPr>
        <w:t>五、财政拨款支出决算明细表</w:t>
      </w:r>
      <w:r>
        <w:rPr>
          <w:rFonts w:ascii="Times New Roman" w:hAnsi="Times New Roman" w:eastAsia="仿宋_GB2312"/>
          <w:sz w:val="30"/>
          <w:szCs w:val="30"/>
        </w:rPr>
        <w:fldChar w:fldCharType="end"/>
      </w:r>
    </w:p>
    <w:p w14:paraId="587F92AF">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"_Toc207996195" </w:instrText>
      </w:r>
      <w:r>
        <w:fldChar w:fldCharType="separate"/>
      </w:r>
      <w:r>
        <w:rPr>
          <w:rStyle w:val="26"/>
          <w:rFonts w:ascii="Times New Roman" w:hAnsi="Times New Roman" w:eastAsia="仿宋_GB2312"/>
          <w:sz w:val="30"/>
          <w:szCs w:val="30"/>
        </w:rPr>
        <w:t>六、一般公共预算财政拨款支出决算表</w:t>
      </w:r>
      <w:r>
        <w:rPr>
          <w:rFonts w:ascii="Times New Roman" w:hAnsi="Times New Roman" w:eastAsia="仿宋_GB2312"/>
          <w:sz w:val="30"/>
          <w:szCs w:val="30"/>
        </w:rPr>
        <w:fldChar w:fldCharType="end"/>
      </w:r>
    </w:p>
    <w:p w14:paraId="09EDE306">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"_Toc207996196" </w:instrText>
      </w:r>
      <w:r>
        <w:fldChar w:fldCharType="separate"/>
      </w:r>
      <w:r>
        <w:rPr>
          <w:rStyle w:val="26"/>
          <w:rFonts w:ascii="Times New Roman" w:hAnsi="Times New Roman" w:eastAsia="仿宋_GB2312"/>
          <w:sz w:val="30"/>
          <w:szCs w:val="30"/>
        </w:rPr>
        <w:t>七、一般公共预算财政拨款支出决算明细表</w:t>
      </w:r>
      <w:r>
        <w:rPr>
          <w:rFonts w:ascii="Times New Roman" w:hAnsi="Times New Roman" w:eastAsia="仿宋_GB2312"/>
          <w:sz w:val="30"/>
          <w:szCs w:val="30"/>
        </w:rPr>
        <w:fldChar w:fldCharType="end"/>
      </w:r>
    </w:p>
    <w:p w14:paraId="2E314DF6">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"_Toc207996197" </w:instrText>
      </w:r>
      <w:r>
        <w:fldChar w:fldCharType="separate"/>
      </w:r>
      <w:r>
        <w:rPr>
          <w:rStyle w:val="26"/>
          <w:rFonts w:ascii="Times New Roman" w:hAnsi="Times New Roman" w:eastAsia="仿宋_GB2312"/>
          <w:sz w:val="30"/>
          <w:szCs w:val="30"/>
        </w:rPr>
        <w:t>八、一般公共预算财政拨款基本支出决算表</w:t>
      </w:r>
      <w:r>
        <w:rPr>
          <w:rFonts w:ascii="Times New Roman" w:hAnsi="Times New Roman" w:eastAsia="仿宋_GB2312"/>
          <w:sz w:val="30"/>
          <w:szCs w:val="30"/>
        </w:rPr>
        <w:fldChar w:fldCharType="end"/>
      </w:r>
    </w:p>
    <w:p w14:paraId="18415C32">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"_Toc207996198" </w:instrText>
      </w:r>
      <w:r>
        <w:fldChar w:fldCharType="separate"/>
      </w:r>
      <w:r>
        <w:rPr>
          <w:rStyle w:val="26"/>
          <w:rFonts w:ascii="Times New Roman" w:hAnsi="Times New Roman" w:eastAsia="仿宋_GB2312"/>
          <w:sz w:val="30"/>
          <w:szCs w:val="30"/>
        </w:rPr>
        <w:t>九、一般公共预算财政拨款项目支出决算表</w:t>
      </w:r>
      <w:r>
        <w:rPr>
          <w:rFonts w:ascii="Times New Roman" w:hAnsi="Times New Roman" w:eastAsia="仿宋_GB2312"/>
          <w:sz w:val="30"/>
          <w:szCs w:val="30"/>
        </w:rPr>
        <w:fldChar w:fldCharType="end"/>
      </w:r>
    </w:p>
    <w:p w14:paraId="2DDC2B6E">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"_Toc207996199" </w:instrText>
      </w:r>
      <w:r>
        <w:fldChar w:fldCharType="separate"/>
      </w:r>
      <w:r>
        <w:rPr>
          <w:rStyle w:val="26"/>
          <w:rFonts w:ascii="Times New Roman" w:hAnsi="Times New Roman" w:eastAsia="仿宋_GB2312"/>
          <w:sz w:val="30"/>
          <w:szCs w:val="30"/>
        </w:rPr>
        <w:t>十、政府性基金预算财政拨款收入支出决算表</w:t>
      </w:r>
      <w:r>
        <w:rPr>
          <w:rFonts w:ascii="Times New Roman" w:hAnsi="Times New Roman" w:eastAsia="仿宋_GB2312"/>
          <w:sz w:val="30"/>
          <w:szCs w:val="30"/>
        </w:rPr>
        <w:fldChar w:fldCharType="end"/>
      </w:r>
    </w:p>
    <w:p w14:paraId="3261911C">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"_Toc207996200" </w:instrText>
      </w:r>
      <w:r>
        <w:fldChar w:fldCharType="separate"/>
      </w:r>
      <w:r>
        <w:rPr>
          <w:rStyle w:val="26"/>
          <w:rFonts w:ascii="Times New Roman" w:hAnsi="Times New Roman" w:eastAsia="仿宋_GB2312"/>
          <w:sz w:val="30"/>
          <w:szCs w:val="30"/>
        </w:rPr>
        <w:t>十一、国有资本经营预算财政拨款收入支出决算表</w:t>
      </w:r>
      <w:r>
        <w:rPr>
          <w:rFonts w:ascii="Times New Roman" w:hAnsi="Times New Roman" w:eastAsia="仿宋_GB2312"/>
          <w:sz w:val="30"/>
          <w:szCs w:val="30"/>
        </w:rPr>
        <w:fldChar w:fldCharType="end"/>
      </w:r>
    </w:p>
    <w:p w14:paraId="4D39C1E4">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"_Toc207996201" </w:instrText>
      </w:r>
      <w:r>
        <w:fldChar w:fldCharType="separate"/>
      </w:r>
      <w:r>
        <w:rPr>
          <w:rStyle w:val="26"/>
          <w:rFonts w:ascii="Times New Roman" w:hAnsi="Times New Roman" w:eastAsia="仿宋_GB2312"/>
          <w:sz w:val="30"/>
          <w:szCs w:val="30"/>
        </w:rPr>
        <w:t>十二、国有资本经营预算财政拨款支出决算表</w:t>
      </w:r>
      <w:r>
        <w:rPr>
          <w:rFonts w:ascii="Times New Roman" w:hAnsi="Times New Roman" w:eastAsia="仿宋_GB2312"/>
          <w:sz w:val="30"/>
          <w:szCs w:val="30"/>
        </w:rPr>
        <w:fldChar w:fldCharType="end"/>
      </w:r>
    </w:p>
    <w:p w14:paraId="20CFC73D">
      <w:pPr>
        <w:pStyle w:val="20"/>
        <w:tabs>
          <w:tab w:val="right" w:leader="dot" w:pos="8296"/>
        </w:tabs>
        <w:spacing w:line="440" w:lineRule="exact"/>
        <w:ind w:firstLine="0" w:firstLineChars="0"/>
        <w:jc w:val="both"/>
        <w:rPr>
          <w:rFonts w:ascii="Times New Roman" w:hAnsi="Times New Roman" w:eastAsia="仿宋_GB2312"/>
          <w:smallCaps w:val="0"/>
          <w:sz w:val="30"/>
          <w:szCs w:val="30"/>
        </w:rPr>
      </w:pPr>
      <w:r>
        <w:fldChar w:fldCharType="begin"/>
      </w:r>
      <w:r>
        <w:instrText xml:space="preserve"> HYPERLINK \l "_Toc207996202" </w:instrText>
      </w:r>
      <w:r>
        <w:fldChar w:fldCharType="separate"/>
      </w:r>
      <w:r>
        <w:rPr>
          <w:rStyle w:val="26"/>
          <w:rFonts w:ascii="Times New Roman" w:hAnsi="Times New Roman" w:eastAsia="仿宋_GB2312"/>
          <w:sz w:val="30"/>
          <w:szCs w:val="30"/>
        </w:rPr>
        <w:t>十三、财政拨款“三公”经费支出决算表</w:t>
      </w:r>
      <w:r>
        <w:rPr>
          <w:rFonts w:ascii="Times New Roman" w:hAnsi="Times New Roman" w:eastAsia="仿宋_GB2312"/>
          <w:sz w:val="30"/>
          <w:szCs w:val="30"/>
        </w:rPr>
        <w:fldChar w:fldCharType="end"/>
      </w:r>
    </w:p>
    <w:p w14:paraId="19B74662">
      <w:pPr>
        <w:pStyle w:val="2"/>
        <w:sectPr>
          <w:footerReference r:id="rId11" w:type="default"/>
          <w:type w:val="continuous"/>
          <w:pgSz w:w="11906" w:h="16838"/>
          <w:pgMar w:top="1440" w:right="1800" w:bottom="1440" w:left="1800" w:header="720" w:footer="720" w:gutter="0"/>
          <w:pgNumType w:start="1"/>
          <w:cols w:space="720" w:num="1"/>
          <w:docGrid w:type="lines" w:linePitch="312" w:charSpace="0"/>
        </w:sectPr>
      </w:pPr>
      <w:r>
        <w:rPr>
          <w:rFonts w:ascii="Times New Roman" w:hAnsi="Times New Roman" w:eastAsia="仿宋_GB2312"/>
          <w:sz w:val="30"/>
          <w:szCs w:val="30"/>
        </w:rPr>
        <w:fldChar w:fldCharType="end"/>
      </w:r>
    </w:p>
    <w:p w14:paraId="3A0B43CF">
      <w:pPr>
        <w:widowControl/>
        <w:suppressAutoHyphens w:val="0"/>
        <w:ind w:firstLine="0" w:firstLineChars="0"/>
        <w:jc w:val="left"/>
        <w:rPr>
          <w:rFonts w:ascii="Times New Roman" w:hAnsi="Times New Roman" w:eastAsia="方正小标宋简体"/>
          <w:bCs/>
          <w:kern w:val="44"/>
          <w:sz w:val="44"/>
          <w:szCs w:val="44"/>
        </w:rPr>
      </w:pPr>
      <w:bookmarkStart w:id="6" w:name="_Toc207996173"/>
      <w:r>
        <w:rPr>
          <w:rFonts w:eastAsia="方正小标宋简体"/>
          <w:b/>
        </w:rPr>
        <w:br w:type="page"/>
      </w:r>
    </w:p>
    <w:p w14:paraId="6CB41D73">
      <w:pPr>
        <w:pStyle w:val="5"/>
        <w:ind w:firstLine="0" w:firstLineChars="0"/>
        <w:jc w:val="center"/>
        <w:rPr>
          <w:rFonts w:eastAsia="方正小标宋简体"/>
          <w:b w:val="0"/>
          <w:bCs w:val="0"/>
        </w:rPr>
      </w:pPr>
      <w:r>
        <w:rPr>
          <w:rFonts w:eastAsia="方正小标宋简体"/>
          <w:b w:val="0"/>
        </w:rPr>
        <w:t>第一部分 单位</w:t>
      </w:r>
      <w:r>
        <w:rPr>
          <w:rStyle w:val="27"/>
          <w:rFonts w:eastAsia="方正小标宋简体"/>
          <w:b w:val="0"/>
          <w:bCs w:val="0"/>
        </w:rPr>
        <w:t>概况</w:t>
      </w:r>
      <w:bookmarkEnd w:id="6"/>
    </w:p>
    <w:p w14:paraId="54DAC7AD">
      <w:pPr>
        <w:pStyle w:val="6"/>
        <w:numPr>
          <w:ilvl w:val="0"/>
          <w:numId w:val="1"/>
        </w:numPr>
        <w:spacing w:line="415" w:lineRule="auto"/>
        <w:ind w:firstLine="640"/>
        <w:rPr>
          <w:rStyle w:val="28"/>
          <w:rFonts w:ascii="Times New Roman" w:hAnsi="Times New Roman" w:eastAsia="黑体"/>
          <w:b w:val="0"/>
          <w:bCs w:val="0"/>
        </w:rPr>
      </w:pPr>
      <w:bookmarkStart w:id="7" w:name="_Toc207996174"/>
      <w:r>
        <w:rPr>
          <w:rStyle w:val="28"/>
          <w:rFonts w:ascii="Times New Roman" w:hAnsi="Times New Roman" w:eastAsia="黑体"/>
          <w:b w:val="0"/>
          <w:bCs w:val="0"/>
        </w:rPr>
        <w:t>主要职责</w:t>
      </w:r>
      <w:bookmarkEnd w:id="7"/>
    </w:p>
    <w:p w14:paraId="4FFEE740">
      <w:pPr>
        <w:widowControl/>
        <w:spacing w:line="580" w:lineRule="exact"/>
        <w:ind w:firstLine="640" w:firstLineChars="0"/>
        <w:rPr>
          <w:rFonts w:ascii="方正仿宋_GBK" w:hAnsi="方正仿宋_GBK" w:eastAsia="方正仿宋_GBK" w:cs="方正仿宋_GBK"/>
          <w:color w:val="333333"/>
          <w:kern w:val="0"/>
          <w:szCs w:val="32"/>
        </w:rPr>
      </w:pPr>
      <w:r>
        <w:rPr>
          <w:rFonts w:hint="eastAsia" w:ascii="方正仿宋_GBK" w:hAnsi="方正仿宋_GBK" w:eastAsia="方正仿宋_GBK" w:cs="方正仿宋_GBK"/>
          <w:color w:val="333333"/>
          <w:kern w:val="0"/>
          <w:szCs w:val="32"/>
        </w:rPr>
        <w:t>（1）宣传贯彻执行国家、省关于林业有害生物防治、检疫及野生动物疫源疫病监测的方针、政策与法律法规；</w:t>
      </w:r>
    </w:p>
    <w:p w14:paraId="00FA6310">
      <w:pPr>
        <w:widowControl/>
        <w:spacing w:line="580" w:lineRule="exact"/>
        <w:ind w:firstLine="640" w:firstLineChars="0"/>
        <w:rPr>
          <w:rFonts w:ascii="方正仿宋_GBK" w:hAnsi="方正仿宋_GBK" w:eastAsia="方正仿宋_GBK" w:cs="方正仿宋_GBK"/>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2</w:t>
      </w:r>
      <w:r>
        <w:rPr>
          <w:rFonts w:hint="eastAsia" w:ascii="方正仿宋_GBK" w:hAnsi="方正仿宋_GBK" w:eastAsia="方正仿宋_GBK" w:cs="方正仿宋_GBK"/>
          <w:color w:val="333333"/>
          <w:kern w:val="0"/>
          <w:szCs w:val="32"/>
        </w:rPr>
        <w:t>）负责指导全市调运检疫与产地检疫工作，核发植物检疫证书与产地检疫合格证书；组织开展调运检疫与产地检疫的执法检查，依法查处违法违规行为；</w:t>
      </w:r>
    </w:p>
    <w:p w14:paraId="20B70401">
      <w:pPr>
        <w:widowControl/>
        <w:spacing w:line="580" w:lineRule="exact"/>
        <w:ind w:firstLine="640" w:firstLineChars="0"/>
        <w:rPr>
          <w:rFonts w:ascii="方正仿宋_GBK" w:hAnsi="方正仿宋_GBK" w:eastAsia="方正仿宋_GBK" w:cs="方正仿宋_GBK"/>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3</w:t>
      </w:r>
      <w:r>
        <w:rPr>
          <w:rFonts w:hint="eastAsia" w:ascii="方正仿宋_GBK" w:hAnsi="方正仿宋_GBK" w:eastAsia="方正仿宋_GBK" w:cs="方正仿宋_GBK"/>
          <w:color w:val="333333"/>
          <w:kern w:val="0"/>
          <w:szCs w:val="32"/>
        </w:rPr>
        <w:t>）负责指导全市开展检疫性、危险性林业有害生物调查，发现检疫性、危险性林业有害生物，按规定启动对应处置预案；</w:t>
      </w:r>
    </w:p>
    <w:p w14:paraId="28214DC4">
      <w:pPr>
        <w:widowControl/>
        <w:spacing w:line="580" w:lineRule="exact"/>
        <w:ind w:firstLine="640" w:firstLineChars="0"/>
        <w:rPr>
          <w:rFonts w:ascii="方正仿宋_GBK" w:hAnsi="方正仿宋_GBK" w:eastAsia="方正仿宋_GBK" w:cs="方正仿宋_GBK"/>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4</w:t>
      </w:r>
      <w:r>
        <w:rPr>
          <w:rFonts w:hint="eastAsia" w:ascii="方正仿宋_GBK" w:hAnsi="方正仿宋_GBK" w:eastAsia="方正仿宋_GBK" w:cs="方正仿宋_GBK"/>
          <w:color w:val="333333"/>
          <w:kern w:val="0"/>
          <w:szCs w:val="32"/>
        </w:rPr>
        <w:t>）负责指导全市林业有害生物监测预警工作，组织开展林业有害生物专题调查，发布主要林业有害生物趋势预报，指导建设全市林业有害生物预测预报网络；</w:t>
      </w:r>
    </w:p>
    <w:p w14:paraId="20B12E69">
      <w:pPr>
        <w:widowControl/>
        <w:spacing w:line="580" w:lineRule="exact"/>
        <w:ind w:firstLine="640" w:firstLineChars="0"/>
        <w:rPr>
          <w:rFonts w:ascii="方正仿宋_GBK" w:hAnsi="方正仿宋_GBK" w:eastAsia="方正仿宋_GBK" w:cs="方正仿宋_GBK"/>
          <w:color w:val="333333"/>
          <w:kern w:val="0"/>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5</w:t>
      </w:r>
      <w:r>
        <w:rPr>
          <w:rFonts w:hint="eastAsia" w:ascii="方正仿宋_GBK" w:hAnsi="方正仿宋_GBK" w:eastAsia="方正仿宋_GBK" w:cs="方正仿宋_GBK"/>
          <w:color w:val="333333"/>
          <w:kern w:val="0"/>
          <w:szCs w:val="32"/>
        </w:rPr>
        <w:t>）负责指导全市林业、草原有害生物防治工作，编制全市林业有害生物防治规划与重大林业有害生物防治方案，组织、指导、协调全市重大及突发性林业</w:t>
      </w:r>
      <w:r>
        <w:rPr>
          <w:rFonts w:hint="eastAsia" w:ascii="方正仿宋_GBK" w:hAnsi="方正仿宋_GBK" w:eastAsia="方正仿宋_GBK" w:cs="方正仿宋_GBK"/>
          <w:color w:val="333333"/>
          <w:kern w:val="0"/>
          <w:szCs w:val="32"/>
          <w:lang w:eastAsia="zh-CN"/>
        </w:rPr>
        <w:t>有害生物防治</w:t>
      </w:r>
      <w:r>
        <w:rPr>
          <w:rFonts w:hint="eastAsia" w:ascii="方正仿宋_GBK" w:hAnsi="方正仿宋_GBK" w:eastAsia="方正仿宋_GBK" w:cs="方正仿宋_GBK"/>
          <w:color w:val="333333"/>
          <w:kern w:val="0"/>
          <w:szCs w:val="32"/>
        </w:rPr>
        <w:t>工作；</w:t>
      </w:r>
    </w:p>
    <w:p w14:paraId="484E37F1">
      <w:pPr>
        <w:widowControl/>
        <w:spacing w:line="580" w:lineRule="exact"/>
        <w:ind w:firstLine="640" w:firstLineChars="0"/>
        <w:rPr>
          <w:rFonts w:ascii="方正仿宋_GBK" w:hAnsi="方正仿宋_GBK" w:eastAsia="方正仿宋_GBK" w:cs="方正仿宋_GBK"/>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6</w:t>
      </w:r>
      <w:r>
        <w:rPr>
          <w:rFonts w:hint="eastAsia" w:ascii="方正仿宋_GBK" w:hAnsi="方正仿宋_GBK" w:eastAsia="方正仿宋_GBK" w:cs="方正仿宋_GBK"/>
          <w:color w:val="333333"/>
          <w:kern w:val="0"/>
          <w:szCs w:val="32"/>
        </w:rPr>
        <w:t>）</w:t>
      </w:r>
      <w:r>
        <w:rPr>
          <w:rFonts w:hint="eastAsia" w:ascii="方正仿宋_GBK" w:hAnsi="方正仿宋_GBK" w:eastAsia="方正仿宋_GBK" w:cs="方正仿宋_GBK"/>
          <w:kern w:val="0"/>
          <w:szCs w:val="32"/>
        </w:rPr>
        <w:t>指导全市陆生野生动物疫源疫病监测工作，协调配合相关部门开展陆生野生动物疫情应急处置；</w:t>
      </w:r>
    </w:p>
    <w:p w14:paraId="7BC4E6CF">
      <w:pPr>
        <w:widowControl/>
        <w:spacing w:line="580" w:lineRule="exact"/>
        <w:ind w:firstLine="640" w:firstLineChars="0"/>
        <w:rPr>
          <w:rFonts w:ascii="方正仿宋_GBK" w:hAnsi="方正仿宋_GBK" w:eastAsia="方正仿宋_GBK" w:cs="方正仿宋_GBK"/>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7</w:t>
      </w:r>
      <w:r>
        <w:rPr>
          <w:rFonts w:hint="eastAsia" w:ascii="方正仿宋_GBK" w:hAnsi="方正仿宋_GBK" w:eastAsia="方正仿宋_GBK" w:cs="方正仿宋_GBK"/>
          <w:color w:val="333333"/>
          <w:kern w:val="0"/>
          <w:szCs w:val="32"/>
        </w:rPr>
        <w:t>）</w:t>
      </w:r>
      <w:r>
        <w:rPr>
          <w:rFonts w:hint="eastAsia" w:ascii="方正仿宋_GBK" w:hAnsi="方正仿宋_GBK" w:eastAsia="方正仿宋_GBK" w:cs="方正仿宋_GBK"/>
          <w:kern w:val="0"/>
          <w:szCs w:val="32"/>
        </w:rPr>
        <w:t>辅助市林业局开展林业综合行政执法工作；</w:t>
      </w:r>
    </w:p>
    <w:p w14:paraId="4BD79C05">
      <w:pPr>
        <w:pStyle w:val="34"/>
        <w:spacing w:line="580" w:lineRule="exact"/>
        <w:ind w:left="420" w:firstLine="160" w:firstLineChars="50"/>
        <w:jc w:val="left"/>
        <w:rPr>
          <w:rFonts w:ascii="方正仿宋_GBK" w:hAnsi="方正仿宋_GBK" w:eastAsia="方正仿宋_GBK" w:cs="方正仿宋_GBK"/>
          <w:kern w:val="0"/>
          <w:szCs w:val="32"/>
        </w:rPr>
      </w:pPr>
      <w:r>
        <w:rPr>
          <w:rFonts w:hint="eastAsia" w:ascii="方正仿宋_GBK" w:hAnsi="方正仿宋_GBK" w:eastAsia="方正仿宋_GBK" w:cs="方正仿宋_GBK"/>
          <w:color w:val="333333"/>
          <w:kern w:val="0"/>
          <w:szCs w:val="32"/>
        </w:rPr>
        <w:t>（</w:t>
      </w:r>
      <w:r>
        <w:rPr>
          <w:rFonts w:ascii="方正仿宋_GBK" w:hAnsi="方正仿宋_GBK" w:eastAsia="方正仿宋_GBK" w:cs="方正仿宋_GBK"/>
          <w:color w:val="333333"/>
          <w:kern w:val="0"/>
          <w:szCs w:val="32"/>
        </w:rPr>
        <w:t>8</w:t>
      </w:r>
      <w:r>
        <w:rPr>
          <w:rFonts w:hint="eastAsia" w:ascii="方正仿宋_GBK" w:hAnsi="方正仿宋_GBK" w:eastAsia="方正仿宋_GBK" w:cs="方正仿宋_GBK"/>
          <w:color w:val="333333"/>
          <w:kern w:val="0"/>
          <w:szCs w:val="32"/>
        </w:rPr>
        <w:t>）</w:t>
      </w:r>
      <w:r>
        <w:rPr>
          <w:rFonts w:hint="eastAsia" w:ascii="方正仿宋_GBK" w:hAnsi="方正仿宋_GBK" w:eastAsia="方正仿宋_GBK" w:cs="方正仿宋_GBK"/>
          <w:kern w:val="0"/>
          <w:szCs w:val="32"/>
        </w:rPr>
        <w:t>完成市林业局交办的其他工作。</w:t>
      </w:r>
    </w:p>
    <w:p w14:paraId="26F47D3A">
      <w:pPr>
        <w:spacing w:line="578" w:lineRule="exact"/>
        <w:ind w:firstLine="640"/>
        <w:jc w:val="left"/>
        <w:rPr>
          <w:rFonts w:ascii="Times New Roman" w:hAnsi="Times New Roman" w:eastAsia="仿宋_GB2312"/>
          <w:color w:val="000000"/>
          <w:kern w:val="0"/>
          <w:szCs w:val="32"/>
        </w:rPr>
      </w:pPr>
    </w:p>
    <w:p w14:paraId="0C74F363">
      <w:pPr>
        <w:pStyle w:val="6"/>
        <w:numPr>
          <w:ilvl w:val="0"/>
          <w:numId w:val="1"/>
        </w:numPr>
        <w:spacing w:line="415" w:lineRule="auto"/>
        <w:ind w:firstLine="640"/>
        <w:rPr>
          <w:rStyle w:val="28"/>
          <w:rFonts w:ascii="Times New Roman" w:hAnsi="Times New Roman" w:eastAsia="黑体"/>
          <w:b w:val="0"/>
          <w:bCs w:val="0"/>
        </w:rPr>
      </w:pPr>
      <w:bookmarkStart w:id="8" w:name="_Toc207996175"/>
      <w:r>
        <w:rPr>
          <w:rStyle w:val="28"/>
          <w:rFonts w:ascii="Times New Roman" w:hAnsi="Times New Roman" w:eastAsia="黑体"/>
          <w:b w:val="0"/>
          <w:bCs w:val="0"/>
        </w:rPr>
        <w:t>机构设置</w:t>
      </w:r>
      <w:bookmarkEnd w:id="8"/>
    </w:p>
    <w:p w14:paraId="7DA9E438">
      <w:pPr>
        <w:snapToGrid w:val="0"/>
        <w:spacing w:line="520" w:lineRule="exact"/>
        <w:ind w:firstLine="640"/>
        <w:rPr>
          <w:rFonts w:ascii="Times New Roman" w:hAnsi="Times New Roman" w:eastAsia="仿宋_GB2312"/>
          <w:szCs w:val="32"/>
        </w:rPr>
      </w:pPr>
      <w:r>
        <w:rPr>
          <w:rFonts w:ascii="Times New Roman" w:hAnsi="Times New Roman" w:eastAsia="仿宋_GB2312"/>
          <w:szCs w:val="32"/>
        </w:rPr>
        <w:t>我单位为市林业局直属管理二级独立核算参照公务员法管理全额拨款事业单位</w:t>
      </w:r>
      <w:r>
        <w:rPr>
          <w:rFonts w:hint="eastAsia" w:ascii="Times New Roman" w:hAnsi="Times New Roman" w:eastAsia="仿宋_GB2312"/>
          <w:szCs w:val="32"/>
        </w:rPr>
        <w:t>，</w:t>
      </w:r>
      <w:r>
        <w:rPr>
          <w:rFonts w:ascii="Times New Roman" w:hAnsi="Times New Roman" w:eastAsia="仿宋_GB2312"/>
          <w:color w:val="000000"/>
          <w:szCs w:val="32"/>
        </w:rPr>
        <w:t>人员编制为19名，实有人员为17名（86号文聘用人员1名），退休人员共计9人</w:t>
      </w:r>
      <w:r>
        <w:rPr>
          <w:rFonts w:hint="eastAsia" w:ascii="Times New Roman" w:hAnsi="Times New Roman" w:eastAsia="仿宋_GB2312"/>
          <w:color w:val="000000"/>
          <w:szCs w:val="32"/>
          <w:lang w:eastAsia="zh-CN"/>
        </w:rPr>
        <w:t>（</w:t>
      </w:r>
      <w:r>
        <w:rPr>
          <w:rFonts w:ascii="Times New Roman" w:hAnsi="Times New Roman" w:eastAsia="仿宋_GB2312"/>
          <w:color w:val="000000"/>
          <w:szCs w:val="32"/>
        </w:rPr>
        <w:t>已交社保统一管理</w:t>
      </w:r>
      <w:r>
        <w:rPr>
          <w:rFonts w:hint="eastAsia" w:ascii="Times New Roman" w:hAnsi="Times New Roman" w:eastAsia="仿宋_GB2312"/>
          <w:color w:val="000000"/>
          <w:szCs w:val="32"/>
          <w:lang w:eastAsia="zh-CN"/>
        </w:rPr>
        <w:t>）</w:t>
      </w:r>
      <w:r>
        <w:rPr>
          <w:rFonts w:ascii="Times New Roman" w:hAnsi="Times New Roman" w:eastAsia="仿宋_GB2312"/>
          <w:color w:val="000000"/>
          <w:szCs w:val="32"/>
        </w:rPr>
        <w:t>。</w:t>
      </w:r>
    </w:p>
    <w:p w14:paraId="79A52E94">
      <w:pPr>
        <w:ind w:firstLine="640"/>
        <w:rPr>
          <w:rFonts w:ascii="Times New Roman" w:hAnsi="Times New Roman"/>
        </w:rPr>
      </w:pPr>
    </w:p>
    <w:p w14:paraId="50F8D5E1">
      <w:pPr>
        <w:widowControl/>
        <w:ind w:firstLine="640"/>
        <w:jc w:val="left"/>
        <w:rPr>
          <w:rFonts w:ascii="Times New Roman" w:hAnsi="Times New Roman"/>
          <w:kern w:val="0"/>
          <w:szCs w:val="32"/>
        </w:rPr>
      </w:pPr>
      <w:r>
        <w:rPr>
          <w:rFonts w:ascii="Times New Roman" w:hAnsi="Times New Roman"/>
          <w:szCs w:val="32"/>
        </w:rPr>
        <w:br w:type="page"/>
      </w:r>
    </w:p>
    <w:p w14:paraId="17C781DE">
      <w:pPr>
        <w:pStyle w:val="5"/>
        <w:ind w:right="567" w:firstLine="0" w:firstLineChars="0"/>
        <w:jc w:val="center"/>
        <w:rPr>
          <w:rFonts w:eastAsia="黑体"/>
          <w:b w:val="0"/>
          <w:bCs w:val="0"/>
        </w:rPr>
      </w:pPr>
      <w:bookmarkStart w:id="9" w:name="_Toc207996176"/>
      <w:r>
        <w:rPr>
          <w:rFonts w:eastAsia="黑体"/>
          <w:b w:val="0"/>
        </w:rPr>
        <w:t>第二部分  2025年度</w:t>
      </w:r>
      <w:r>
        <w:rPr>
          <w:rStyle w:val="27"/>
          <w:rFonts w:eastAsia="黑体"/>
          <w:b w:val="0"/>
          <w:bCs w:val="0"/>
        </w:rPr>
        <w:t>单位决算情况说明</w:t>
      </w:r>
      <w:bookmarkEnd w:id="9"/>
    </w:p>
    <w:p w14:paraId="64C6F35D">
      <w:pPr>
        <w:pStyle w:val="34"/>
        <w:spacing w:line="600" w:lineRule="exact"/>
        <w:ind w:firstLine="640"/>
        <w:jc w:val="left"/>
        <w:outlineLvl w:val="1"/>
        <w:rPr>
          <w:rStyle w:val="28"/>
          <w:rFonts w:ascii="Times New Roman" w:hAnsi="Times New Roman" w:eastAsia="黑体"/>
          <w:b w:val="0"/>
        </w:rPr>
      </w:pPr>
      <w:bookmarkStart w:id="10" w:name="_Toc207996177"/>
      <w:r>
        <w:rPr>
          <w:rFonts w:ascii="Times New Roman" w:hAnsi="Times New Roman" w:eastAsia="黑体"/>
          <w:szCs w:val="32"/>
        </w:rPr>
        <w:t>一、收</w:t>
      </w:r>
      <w:r>
        <w:rPr>
          <w:rStyle w:val="28"/>
          <w:rFonts w:ascii="Times New Roman" w:hAnsi="Times New Roman" w:eastAsia="黑体"/>
          <w:b w:val="0"/>
        </w:rPr>
        <w:t>入支出决算总体情况说明</w:t>
      </w:r>
      <w:bookmarkEnd w:id="10"/>
    </w:p>
    <w:p w14:paraId="3F731ABD">
      <w:pPr>
        <w:spacing w:line="600" w:lineRule="exact"/>
        <w:ind w:firstLine="640"/>
        <w:rPr>
          <w:rFonts w:ascii="Times New Roman" w:hAnsi="Times New Roman" w:eastAsia="仿宋_GB2312"/>
          <w:szCs w:val="32"/>
        </w:rPr>
      </w:pPr>
      <w:r>
        <w:rPr>
          <w:rFonts w:ascii="Times New Roman" w:hAnsi="Times New Roman" w:eastAsia="仿宋_GB2312"/>
          <w:szCs w:val="32"/>
        </w:rPr>
        <w:t>2025年度收、支总计均为424.45万元。与2024年度相比，收、支总计各增加103.04万元，增长32.1%。主要变动原因是</w:t>
      </w:r>
      <w:r>
        <w:rPr>
          <w:rFonts w:hint="eastAsia" w:ascii="Times New Roman" w:hAnsi="Times New Roman" w:eastAsia="仿宋_GB2312"/>
          <w:szCs w:val="32"/>
        </w:rPr>
        <w:t>：</w:t>
      </w:r>
      <w:r>
        <w:rPr>
          <w:rFonts w:hint="eastAsia" w:ascii="仿宋_GB2312" w:hAnsi="仿宋_GB2312" w:cs="仿宋_GB2312"/>
          <w:color w:val="000000"/>
          <w:szCs w:val="32"/>
        </w:rPr>
        <w:t>24年市林业执法稽查队撤销合并到本单位，人员增加8人，</w:t>
      </w:r>
      <w:r>
        <w:rPr>
          <w:rFonts w:ascii="Times New Roman" w:hAnsi="Times New Roman" w:eastAsia="仿宋_GB2312"/>
          <w:szCs w:val="32"/>
        </w:rPr>
        <w:t>2025年</w:t>
      </w:r>
      <w:r>
        <w:rPr>
          <w:rFonts w:hint="eastAsia" w:ascii="Times New Roman" w:hAnsi="Times New Roman" w:eastAsia="仿宋_GB2312"/>
          <w:szCs w:val="32"/>
        </w:rPr>
        <w:t>新考入2人</w:t>
      </w:r>
      <w:r>
        <w:rPr>
          <w:rFonts w:ascii="Times New Roman" w:hAnsi="Times New Roman" w:eastAsia="仿宋_GB2312"/>
          <w:szCs w:val="32"/>
        </w:rPr>
        <w:t>，人员、公用经费增加。</w:t>
      </w:r>
    </w:p>
    <w:p w14:paraId="48F491BD">
      <w:pPr>
        <w:pStyle w:val="9"/>
        <w:spacing w:before="72"/>
        <w:ind w:firstLine="640"/>
        <w:jc w:val="center"/>
        <w:rPr>
          <w:rFonts w:ascii="Times New Roman" w:hAnsi="Times New Roman"/>
          <w:szCs w:val="32"/>
        </w:rPr>
      </w:pPr>
      <w:bookmarkStart w:id="11" w:name="_1787121690"/>
      <w:bookmarkEnd w:id="11"/>
      <w:r>
        <w:drawing>
          <wp:inline distT="0" distB="0" distL="0" distR="0">
            <wp:extent cx="4572000" cy="27432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EB10E2">
      <w:pPr>
        <w:pStyle w:val="34"/>
        <w:spacing w:line="600" w:lineRule="exact"/>
        <w:ind w:firstLine="640"/>
        <w:jc w:val="left"/>
        <w:outlineLvl w:val="1"/>
        <w:rPr>
          <w:rFonts w:ascii="黑体" w:hAnsi="黑体" w:eastAsia="黑体"/>
          <w:bCs/>
        </w:rPr>
      </w:pPr>
      <w:bookmarkStart w:id="12" w:name="_Toc207996178"/>
      <w:r>
        <w:rPr>
          <w:rFonts w:ascii="黑体" w:hAnsi="黑体" w:eastAsia="黑体"/>
          <w:szCs w:val="32"/>
        </w:rPr>
        <w:t>二、收</w:t>
      </w:r>
      <w:r>
        <w:rPr>
          <w:rFonts w:ascii="黑体" w:hAnsi="黑体" w:eastAsia="黑体"/>
          <w:bCs/>
        </w:rPr>
        <w:t>入决算情况说</w:t>
      </w:r>
      <w:bookmarkEnd w:id="12"/>
      <w:r>
        <w:rPr>
          <w:rFonts w:hint="eastAsia" w:ascii="黑体" w:hAnsi="黑体" w:eastAsia="黑体"/>
          <w:bCs/>
        </w:rPr>
        <w:t>明</w:t>
      </w:r>
    </w:p>
    <w:p w14:paraId="0DBBCE2D">
      <w:pPr>
        <w:pStyle w:val="34"/>
        <w:spacing w:line="600" w:lineRule="exact"/>
        <w:ind w:firstLine="640"/>
        <w:jc w:val="left"/>
        <w:outlineLvl w:val="1"/>
        <w:rPr>
          <w:rFonts w:ascii="Times New Roman" w:hAnsi="Times New Roman" w:eastAsia="仿宋_GB2312"/>
          <w:szCs w:val="32"/>
        </w:rPr>
      </w:pPr>
      <w:r>
        <w:rPr>
          <w:rFonts w:hint="eastAsia" w:ascii="仿宋_GB2312" w:hAnsi="仿宋_GB2312" w:eastAsia="仿宋_GB2312" w:cs="仿宋_GB2312"/>
          <w:szCs w:val="32"/>
        </w:rPr>
        <w:drawing>
          <wp:anchor distT="0" distB="0" distL="114300" distR="114300" simplePos="0" relativeHeight="251660288" behindDoc="0" locked="0" layoutInCell="1" allowOverlap="1">
            <wp:simplePos x="0" y="0"/>
            <wp:positionH relativeFrom="margin">
              <wp:posOffset>613410</wp:posOffset>
            </wp:positionH>
            <wp:positionV relativeFrom="paragraph">
              <wp:posOffset>560070</wp:posOffset>
            </wp:positionV>
            <wp:extent cx="4513580" cy="2417445"/>
            <wp:effectExtent l="0" t="0" r="1270" b="1905"/>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Pr>
          <w:rFonts w:ascii="Times New Roman" w:hAnsi="Times New Roman"/>
          <w:szCs w:val="32"/>
        </w:rPr>
        <w:t>2</w:t>
      </w:r>
      <w:r>
        <w:rPr>
          <w:rFonts w:ascii="Times New Roman" w:hAnsi="Times New Roman" w:eastAsia="仿宋_GB2312"/>
          <w:szCs w:val="32"/>
        </w:rPr>
        <w:t>025年度本年收入合计424.45万元，其中：一般公共预算财政拨款收入424.45万元，占100%。</w:t>
      </w:r>
    </w:p>
    <w:p w14:paraId="6C0C67C1">
      <w:pPr>
        <w:pStyle w:val="6"/>
        <w:spacing w:line="415" w:lineRule="auto"/>
        <w:ind w:firstLine="640"/>
        <w:jc w:val="left"/>
        <w:rPr>
          <w:rFonts w:ascii="Times New Roman" w:hAnsi="Times New Roman" w:eastAsia="黑体"/>
          <w:b w:val="0"/>
        </w:rPr>
      </w:pPr>
      <w:bookmarkStart w:id="13" w:name="_Toc207996179"/>
      <w:r>
        <w:rPr>
          <w:rFonts w:ascii="Times New Roman" w:hAnsi="Times New Roman" w:eastAsia="黑体"/>
          <w:b w:val="0"/>
        </w:rPr>
        <w:t>三、支出决算情况说明</w:t>
      </w:r>
      <w:bookmarkEnd w:id="13"/>
    </w:p>
    <w:p w14:paraId="5023DC47">
      <w:pPr>
        <w:ind w:firstLine="640"/>
        <w:rPr>
          <w:rFonts w:ascii="Times New Roman" w:hAnsi="Times New Roman" w:eastAsia="仿宋_GB2312"/>
        </w:rPr>
      </w:pPr>
      <w:r>
        <w:rPr>
          <w:rFonts w:ascii="Times New Roman" w:hAnsi="Times New Roman" w:eastAsia="仿宋_GB2312"/>
        </w:rPr>
        <w:t>2025年度本年支出合计424.45万元，其中：基本支出399.79万元，占94.2%；项目支出24.66万元，占5.8%。</w:t>
      </w:r>
    </w:p>
    <w:p w14:paraId="6743E7D0">
      <w:pPr>
        <w:ind w:firstLine="0" w:firstLineChars="0"/>
        <w:jc w:val="center"/>
        <w:rPr>
          <w:rFonts w:ascii="Times New Roman" w:hAnsi="Times New Roman" w:eastAsia="仿宋_GB2312"/>
        </w:rPr>
      </w:pPr>
      <w:r>
        <w:rPr>
          <w:rFonts w:ascii="Times New Roman" w:hAnsi="Times New Roman" w:eastAsia="仿宋_GB2312"/>
        </w:rPr>
        <w:drawing>
          <wp:inline distT="0" distB="0" distL="0" distR="0">
            <wp:extent cx="4610100" cy="2665095"/>
            <wp:effectExtent l="0" t="0" r="0" b="1905"/>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3C55DE">
      <w:pPr>
        <w:pStyle w:val="34"/>
        <w:spacing w:line="600" w:lineRule="exact"/>
        <w:ind w:firstLine="640"/>
        <w:jc w:val="left"/>
        <w:outlineLvl w:val="1"/>
        <w:rPr>
          <w:rFonts w:ascii="黑体" w:hAnsi="黑体" w:eastAsia="黑体"/>
          <w:bCs/>
        </w:rPr>
      </w:pPr>
      <w:bookmarkStart w:id="14" w:name="_Toc207996180"/>
      <w:r>
        <w:rPr>
          <w:rFonts w:ascii="黑体" w:hAnsi="黑体" w:eastAsia="黑体"/>
          <w:szCs w:val="32"/>
        </w:rPr>
        <w:t>四、财</w:t>
      </w:r>
      <w:r>
        <w:rPr>
          <w:rFonts w:ascii="黑体" w:hAnsi="黑体" w:eastAsia="黑体"/>
          <w:bCs/>
        </w:rPr>
        <w:t>政拨款收入支出决算总体情况说明</w:t>
      </w:r>
      <w:bookmarkEnd w:id="14"/>
    </w:p>
    <w:p w14:paraId="31F9832A">
      <w:pPr>
        <w:spacing w:line="600" w:lineRule="exact"/>
        <w:ind w:firstLine="640"/>
        <w:rPr>
          <w:rFonts w:ascii="Times New Roman" w:hAnsi="Times New Roman" w:eastAsia="仿宋_GB2312"/>
          <w:szCs w:val="32"/>
        </w:rPr>
      </w:pPr>
      <w:r>
        <w:rPr>
          <w:rFonts w:hint="eastAsia" w:eastAsia="仿宋_GB2312" w:cs="仿宋_GB2312"/>
          <w:szCs w:val="32"/>
        </w:rPr>
        <w:drawing>
          <wp:anchor distT="0" distB="0" distL="114300" distR="114300" simplePos="0" relativeHeight="251661312" behindDoc="0" locked="0" layoutInCell="1" allowOverlap="1">
            <wp:simplePos x="0" y="0"/>
            <wp:positionH relativeFrom="margin">
              <wp:posOffset>385445</wp:posOffset>
            </wp:positionH>
            <wp:positionV relativeFrom="paragraph">
              <wp:posOffset>1500505</wp:posOffset>
            </wp:positionV>
            <wp:extent cx="4531995" cy="2303145"/>
            <wp:effectExtent l="0" t="0" r="1905" b="1905"/>
            <wp:wrapTopAndBottom/>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Pr>
          <w:rFonts w:ascii="Times New Roman" w:hAnsi="Times New Roman" w:eastAsia="仿宋_GB2312"/>
          <w:szCs w:val="32"/>
        </w:rPr>
        <w:t>2025年度财政拨款收、支总计均为424.45万元。与2024年度相比，财政拨款收入总计、支出总计各增加103.04万元，增长32.1%。主要变动原因是</w:t>
      </w:r>
      <w:r>
        <w:rPr>
          <w:rFonts w:hint="eastAsia" w:ascii="Times New Roman" w:hAnsi="Times New Roman" w:eastAsia="仿宋_GB2312"/>
          <w:szCs w:val="32"/>
        </w:rPr>
        <w:t>：</w:t>
      </w:r>
      <w:r>
        <w:rPr>
          <w:rFonts w:hint="eastAsia" w:ascii="仿宋_GB2312" w:hAnsi="仿宋_GB2312" w:cs="仿宋_GB2312"/>
          <w:color w:val="000000"/>
          <w:szCs w:val="32"/>
        </w:rPr>
        <w:t>24年市林业执法稽查队撤销合并到本单位，人员增加8人，</w:t>
      </w:r>
      <w:r>
        <w:rPr>
          <w:rFonts w:ascii="Times New Roman" w:hAnsi="Times New Roman" w:eastAsia="仿宋_GB2312"/>
          <w:szCs w:val="32"/>
        </w:rPr>
        <w:t>2025年</w:t>
      </w:r>
      <w:r>
        <w:rPr>
          <w:rFonts w:hint="eastAsia" w:ascii="Times New Roman" w:hAnsi="Times New Roman" w:eastAsia="仿宋_GB2312"/>
          <w:szCs w:val="32"/>
        </w:rPr>
        <w:t>新考入2人</w:t>
      </w:r>
      <w:r>
        <w:rPr>
          <w:rFonts w:ascii="Times New Roman" w:hAnsi="Times New Roman" w:eastAsia="仿宋_GB2312"/>
          <w:szCs w:val="32"/>
        </w:rPr>
        <w:t>，人员、公用经费增加。</w:t>
      </w:r>
    </w:p>
    <w:p w14:paraId="756EB6F6">
      <w:pPr>
        <w:pStyle w:val="2"/>
        <w:ind w:firstLine="360"/>
      </w:pPr>
    </w:p>
    <w:p w14:paraId="20667BA4">
      <w:pPr>
        <w:spacing w:line="600" w:lineRule="exact"/>
        <w:ind w:firstLine="640"/>
        <w:outlineLvl w:val="1"/>
        <w:rPr>
          <w:rStyle w:val="28"/>
          <w:rFonts w:ascii="Times New Roman" w:hAnsi="Times New Roman" w:eastAsia="黑体"/>
          <w:b w:val="0"/>
        </w:rPr>
      </w:pPr>
      <w:bookmarkStart w:id="15" w:name="_Toc207996181"/>
      <w:r>
        <w:rPr>
          <w:rFonts w:ascii="Times New Roman" w:hAnsi="Times New Roman" w:eastAsia="黑体"/>
          <w:szCs w:val="32"/>
        </w:rPr>
        <w:t>五、</w:t>
      </w:r>
      <w:r>
        <w:rPr>
          <w:rFonts w:ascii="Times New Roman" w:hAnsi="Times New Roman" w:eastAsia="黑体"/>
          <w:b/>
          <w:szCs w:val="32"/>
        </w:rPr>
        <w:t>一</w:t>
      </w:r>
      <w:r>
        <w:rPr>
          <w:rStyle w:val="28"/>
          <w:rFonts w:ascii="Times New Roman" w:hAnsi="Times New Roman" w:eastAsia="黑体"/>
          <w:b w:val="0"/>
        </w:rPr>
        <w:t>般公共预算财政拨款支出决算情况说明</w:t>
      </w:r>
      <w:bookmarkEnd w:id="15"/>
    </w:p>
    <w:p w14:paraId="2CD423A9">
      <w:pPr>
        <w:spacing w:line="600" w:lineRule="exact"/>
        <w:ind w:firstLine="643"/>
        <w:jc w:val="left"/>
        <w:outlineLvl w:val="2"/>
        <w:rPr>
          <w:rFonts w:eastAsia="楷体_GB2312" w:cs="楷体_GB2312"/>
          <w:b/>
          <w:szCs w:val="32"/>
        </w:rPr>
      </w:pPr>
      <w:bookmarkStart w:id="16" w:name="_Toc15377210"/>
      <w:r>
        <w:rPr>
          <w:rFonts w:hint="eastAsia" w:eastAsia="楷体_GB2312" w:cs="楷体_GB2312"/>
          <w:b/>
          <w:szCs w:val="32"/>
        </w:rPr>
        <w:t>（一）一般公共预算财政拨款支出决算总体情况</w:t>
      </w:r>
      <w:bookmarkEnd w:id="16"/>
    </w:p>
    <w:p w14:paraId="18B17503">
      <w:pPr>
        <w:spacing w:line="600" w:lineRule="exact"/>
        <w:ind w:firstLine="640"/>
        <w:jc w:val="left"/>
        <w:outlineLvl w:val="2"/>
        <w:rPr>
          <w:rFonts w:ascii="仿宋_GB2312" w:eastAsia="仿宋_GB2312" w:cs="楷体_GB2312"/>
          <w:szCs w:val="32"/>
        </w:rPr>
      </w:pPr>
      <w:r>
        <w:rPr>
          <w:rFonts w:ascii="Times New Roman" w:hAnsi="Times New Roman" w:eastAsia="仿宋_GB2312"/>
          <w:szCs w:val="32"/>
        </w:rPr>
        <w:t>2025年度一般公共预算财政拨款支出424.45万元，占本年支出合计的100%。与2024年度相比，一般公共预算财政拨款支出增加103.04万元，增长32.1%。主要变动原因是</w:t>
      </w:r>
      <w:r>
        <w:rPr>
          <w:rFonts w:hint="eastAsia" w:ascii="仿宋_GB2312" w:hAnsi="仿宋_GB2312" w:cs="仿宋_GB2312"/>
          <w:color w:val="000000"/>
          <w:szCs w:val="32"/>
        </w:rPr>
        <w:t>24年市林业执法稽查队撤销合并到本单位，人员增加8人，</w:t>
      </w:r>
      <w:r>
        <w:rPr>
          <w:rFonts w:ascii="Times New Roman" w:hAnsi="Times New Roman" w:eastAsia="仿宋_GB2312"/>
          <w:szCs w:val="32"/>
        </w:rPr>
        <w:t>2025年</w:t>
      </w:r>
      <w:r>
        <w:rPr>
          <w:rFonts w:hint="eastAsia" w:ascii="Times New Roman" w:hAnsi="Times New Roman" w:eastAsia="仿宋_GB2312"/>
          <w:szCs w:val="32"/>
        </w:rPr>
        <w:t>新考入2人</w:t>
      </w:r>
      <w:r>
        <w:rPr>
          <w:rFonts w:ascii="Times New Roman" w:hAnsi="Times New Roman" w:eastAsia="仿宋_GB2312"/>
          <w:szCs w:val="32"/>
        </w:rPr>
        <w:t>，人员、公用经费增加</w:t>
      </w:r>
      <w:r>
        <w:rPr>
          <w:rFonts w:hint="eastAsia" w:ascii="仿宋_GB2312" w:eastAsia="仿宋_GB2312" w:cs="楷体_GB2312"/>
          <w:szCs w:val="32"/>
        </w:rPr>
        <w:t>。</w:t>
      </w:r>
    </w:p>
    <w:p w14:paraId="49C5C8AD">
      <w:pPr>
        <w:pStyle w:val="2"/>
        <w:ind w:firstLine="360"/>
      </w:pPr>
      <w:r>
        <w:rPr>
          <w:rFonts w:hint="eastAsia"/>
        </w:rPr>
        <w:drawing>
          <wp:anchor distT="0" distB="0" distL="114300" distR="114300" simplePos="0" relativeHeight="251662336" behindDoc="0" locked="0" layoutInCell="1" allowOverlap="1">
            <wp:simplePos x="0" y="0"/>
            <wp:positionH relativeFrom="margin">
              <wp:align>center</wp:align>
            </wp:positionH>
            <wp:positionV relativeFrom="paragraph">
              <wp:posOffset>261620</wp:posOffset>
            </wp:positionV>
            <wp:extent cx="4152900" cy="2514600"/>
            <wp:effectExtent l="0" t="0" r="0"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53609D0B">
      <w:pPr>
        <w:pStyle w:val="3"/>
        <w:ind w:left="640" w:firstLine="640"/>
        <w:jc w:val="center"/>
      </w:pPr>
    </w:p>
    <w:p w14:paraId="091646AE">
      <w:pPr>
        <w:spacing w:line="600" w:lineRule="exact"/>
        <w:ind w:firstLine="643"/>
        <w:jc w:val="left"/>
        <w:outlineLvl w:val="2"/>
        <w:rPr>
          <w:rFonts w:eastAsia="楷体_GB2312" w:cs="楷体_GB2312"/>
          <w:b/>
          <w:szCs w:val="32"/>
        </w:rPr>
      </w:pPr>
      <w:r>
        <w:rPr>
          <w:rFonts w:eastAsia="楷体_GB2312" w:cs="楷体_GB2312"/>
          <w:b/>
          <w:szCs w:val="32"/>
        </w:rPr>
        <w:t>（二）一般公共预算财政拨款支出决算结构情况</w:t>
      </w:r>
    </w:p>
    <w:p w14:paraId="4D69A0C9">
      <w:pPr>
        <w:spacing w:line="600" w:lineRule="exact"/>
        <w:ind w:firstLine="640"/>
        <w:outlineLvl w:val="2"/>
        <w:rPr>
          <w:rFonts w:ascii="Times New Roman" w:hAnsi="Times New Roman" w:eastAsia="仿宋_GB2312"/>
          <w:szCs w:val="32"/>
        </w:rPr>
      </w:pPr>
      <w:r>
        <w:rPr>
          <w:rFonts w:ascii="Times New Roman" w:hAnsi="Times New Roman" w:eastAsia="仿宋_GB2312"/>
          <w:szCs w:val="32"/>
        </w:rPr>
        <w:t>2025年度一般公共预算财政拨款支出424.45万元，主要用于以下方面</w:t>
      </w:r>
      <w:r>
        <w:rPr>
          <w:rFonts w:hint="eastAsia" w:ascii="Times New Roman" w:hAnsi="Times New Roman" w:eastAsia="仿宋_GB2312"/>
          <w:szCs w:val="32"/>
          <w:lang w:eastAsia="zh-CN"/>
        </w:rPr>
        <w:t>：</w:t>
      </w:r>
      <w:r>
        <w:rPr>
          <w:rFonts w:ascii="Times New Roman" w:hAnsi="Times New Roman" w:eastAsia="仿宋_GB2312"/>
          <w:b/>
          <w:szCs w:val="32"/>
        </w:rPr>
        <w:t>社会保障和就业</w:t>
      </w:r>
      <w:r>
        <w:rPr>
          <w:rFonts w:ascii="Times New Roman" w:hAnsi="Times New Roman" w:eastAsia="仿宋_GB2312"/>
          <w:b/>
          <w:bCs/>
          <w:szCs w:val="32"/>
        </w:rPr>
        <w:t>支出</w:t>
      </w:r>
      <w:r>
        <w:rPr>
          <w:rFonts w:ascii="Times New Roman" w:hAnsi="Times New Roman" w:eastAsia="仿宋_GB2312"/>
          <w:szCs w:val="32"/>
        </w:rPr>
        <w:t>39万元，占9.2%；卫生健康支出20.5万元，占4.8%；</w:t>
      </w:r>
      <w:r>
        <w:rPr>
          <w:rFonts w:ascii="Times New Roman" w:hAnsi="Times New Roman" w:eastAsia="仿宋_GB2312"/>
          <w:b/>
          <w:bCs/>
          <w:szCs w:val="32"/>
        </w:rPr>
        <w:t>住房保障支出（类）</w:t>
      </w:r>
      <w:r>
        <w:rPr>
          <w:rFonts w:ascii="Times New Roman" w:hAnsi="Times New Roman" w:eastAsia="仿宋_GB2312"/>
          <w:szCs w:val="32"/>
        </w:rPr>
        <w:t>27.64万元，占6.5%；</w:t>
      </w:r>
      <w:r>
        <w:rPr>
          <w:rFonts w:ascii="Times New Roman" w:hAnsi="Times New Roman" w:eastAsia="仿宋_GB2312"/>
          <w:b/>
          <w:szCs w:val="32"/>
        </w:rPr>
        <w:t>农林水支出</w:t>
      </w:r>
      <w:r>
        <w:rPr>
          <w:rFonts w:ascii="Times New Roman" w:hAnsi="Times New Roman" w:eastAsia="仿宋_GB2312"/>
          <w:b/>
          <w:bCs/>
          <w:szCs w:val="32"/>
        </w:rPr>
        <w:t>（类）</w:t>
      </w:r>
      <w:r>
        <w:rPr>
          <w:rFonts w:ascii="Times New Roman" w:hAnsi="Times New Roman" w:eastAsia="仿宋_GB2312"/>
          <w:szCs w:val="32"/>
        </w:rPr>
        <w:t>337.31万元，占79.5%。</w:t>
      </w:r>
    </w:p>
    <w:p w14:paraId="3A4D9C26">
      <w:pPr>
        <w:pStyle w:val="2"/>
        <w:ind w:firstLine="0" w:firstLineChars="0"/>
      </w:pPr>
    </w:p>
    <w:p w14:paraId="39BCA959">
      <w:pPr>
        <w:pStyle w:val="3"/>
        <w:ind w:left="640" w:firstLine="640"/>
      </w:pPr>
      <w:r>
        <w:rPr>
          <w:rFonts w:hint="eastAsia"/>
        </w:rPr>
        <w:drawing>
          <wp:inline distT="0" distB="0" distL="114300" distR="114300">
            <wp:extent cx="4122420" cy="2607310"/>
            <wp:effectExtent l="0" t="0" r="11430" b="254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C5072E">
      <w:pPr>
        <w:spacing w:line="600" w:lineRule="exact"/>
        <w:ind w:firstLine="643"/>
        <w:jc w:val="left"/>
        <w:outlineLvl w:val="2"/>
        <w:rPr>
          <w:rFonts w:eastAsia="楷体_GB2312" w:cs="楷体_GB2312"/>
          <w:b/>
          <w:szCs w:val="32"/>
        </w:rPr>
      </w:pPr>
      <w:r>
        <w:rPr>
          <w:rFonts w:eastAsia="楷体_GB2312" w:cs="楷体_GB2312"/>
          <w:b/>
          <w:szCs w:val="32"/>
        </w:rPr>
        <w:t>（三）一般公共预算财政拨款支出决算具体情况</w:t>
      </w:r>
    </w:p>
    <w:p w14:paraId="7CB135C4">
      <w:pPr>
        <w:ind w:firstLine="640"/>
        <w:rPr>
          <w:rFonts w:ascii="Times New Roman" w:hAnsi="Times New Roman" w:eastAsia="仿宋_GB2312"/>
        </w:rPr>
      </w:pPr>
      <w:r>
        <w:rPr>
          <w:rFonts w:ascii="Times New Roman" w:hAnsi="Times New Roman" w:eastAsia="仿宋_GB2312"/>
        </w:rPr>
        <w:t>2025年度一般公共预算支出决算数为424.45</w:t>
      </w:r>
      <w:r>
        <w:rPr>
          <w:rFonts w:hint="eastAsia" w:ascii="Times New Roman" w:hAnsi="Times New Roman" w:eastAsia="仿宋_GB2312"/>
        </w:rPr>
        <w:t>万元</w:t>
      </w:r>
      <w:r>
        <w:rPr>
          <w:rFonts w:ascii="Times New Roman" w:hAnsi="Times New Roman" w:eastAsia="仿宋_GB2312"/>
        </w:rPr>
        <w:t>，</w:t>
      </w:r>
      <w:r>
        <w:rPr>
          <w:rStyle w:val="25"/>
          <w:rFonts w:ascii="Times New Roman" w:hAnsi="Times New Roman" w:eastAsia="仿宋_GB2312"/>
          <w:b w:val="0"/>
          <w:bCs/>
          <w:szCs w:val="32"/>
        </w:rPr>
        <w:t>完成预算100%。其中：</w:t>
      </w:r>
    </w:p>
    <w:p w14:paraId="1BA3DD91">
      <w:pPr>
        <w:spacing w:line="600" w:lineRule="exact"/>
        <w:ind w:firstLine="640"/>
        <w:rPr>
          <w:rStyle w:val="25"/>
          <w:rFonts w:ascii="Times New Roman" w:hAnsi="Times New Roman" w:eastAsia="仿宋_GB2312"/>
          <w:b w:val="0"/>
          <w:szCs w:val="32"/>
        </w:rPr>
      </w:pPr>
      <w:r>
        <w:rPr>
          <w:rStyle w:val="25"/>
          <w:rFonts w:ascii="Times New Roman" w:hAnsi="Times New Roman" w:eastAsia="仿宋_GB2312"/>
          <w:b w:val="0"/>
          <w:bCs/>
          <w:szCs w:val="32"/>
        </w:rPr>
        <w:t>1.社会保障和就业（类）行政事业单位养老支出（款）    行政离退休（项）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支出决算为4.17万元，完成预算100%，决算数等于预算数</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社会保障和就业（类）行政事业单位养老支出（款）机关事业单位基本养老保险缴费支出（项）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支出决算为34.83万元，完成预算100%，决算数等于预算数。</w:t>
      </w:r>
    </w:p>
    <w:p w14:paraId="277A39A6">
      <w:pPr>
        <w:spacing w:line="600" w:lineRule="exact"/>
        <w:ind w:firstLine="640"/>
        <w:rPr>
          <w:rStyle w:val="25"/>
          <w:rFonts w:ascii="Times New Roman" w:hAnsi="Times New Roman" w:eastAsia="仿宋_GB2312"/>
          <w:b w:val="0"/>
          <w:bCs/>
        </w:rPr>
      </w:pPr>
      <w:r>
        <w:rPr>
          <w:rStyle w:val="25"/>
          <w:rFonts w:ascii="Times New Roman" w:hAnsi="Times New Roman" w:eastAsia="仿宋_GB2312"/>
          <w:b w:val="0"/>
          <w:bCs/>
          <w:szCs w:val="32"/>
        </w:rPr>
        <w:t>2.</w:t>
      </w:r>
      <w:r>
        <w:rPr>
          <w:rFonts w:ascii="Times New Roman" w:hAnsi="Times New Roman" w:eastAsia="仿宋_GB2312"/>
          <w:bCs/>
          <w:szCs w:val="32"/>
        </w:rPr>
        <w:t>农林水</w:t>
      </w:r>
      <w:r>
        <w:rPr>
          <w:rStyle w:val="25"/>
          <w:rFonts w:ascii="Times New Roman" w:hAnsi="Times New Roman" w:eastAsia="仿宋_GB2312"/>
          <w:b w:val="0"/>
          <w:bCs/>
          <w:szCs w:val="32"/>
        </w:rPr>
        <w:t>（类）林业和草原（款）行政运行（项）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支出决算为312.65万元，完成预算100%，决算数等于预算数</w:t>
      </w:r>
      <w:r>
        <w:rPr>
          <w:rStyle w:val="25"/>
          <w:rFonts w:hint="eastAsia" w:ascii="Times New Roman" w:hAnsi="Times New Roman" w:eastAsia="仿宋_GB2312"/>
          <w:b w:val="0"/>
          <w:bCs/>
          <w:szCs w:val="32"/>
        </w:rPr>
        <w:t>；</w:t>
      </w:r>
      <w:r>
        <w:rPr>
          <w:rFonts w:ascii="Times New Roman" w:hAnsi="Times New Roman" w:eastAsia="仿宋_GB2312"/>
          <w:bCs/>
          <w:szCs w:val="32"/>
        </w:rPr>
        <w:t>农林水</w:t>
      </w:r>
      <w:r>
        <w:rPr>
          <w:rStyle w:val="25"/>
          <w:rFonts w:ascii="Times New Roman" w:hAnsi="Times New Roman" w:eastAsia="仿宋_GB2312"/>
          <w:b w:val="0"/>
          <w:bCs/>
          <w:szCs w:val="32"/>
        </w:rPr>
        <w:t>（类）林业和草原（款）林业草原防灾减灾（项）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支出决算为19.74万元，完成预算100%，决算数等于预算数</w:t>
      </w:r>
      <w:r>
        <w:rPr>
          <w:rStyle w:val="25"/>
          <w:rFonts w:hint="eastAsia" w:ascii="Times New Roman" w:hAnsi="Times New Roman" w:eastAsia="仿宋_GB2312"/>
          <w:b w:val="0"/>
          <w:bCs/>
          <w:szCs w:val="32"/>
        </w:rPr>
        <w:t>；</w:t>
      </w:r>
      <w:r>
        <w:rPr>
          <w:rFonts w:ascii="Times New Roman" w:hAnsi="Times New Roman" w:eastAsia="仿宋_GB2312"/>
          <w:bCs/>
          <w:szCs w:val="32"/>
        </w:rPr>
        <w:t>农林水</w:t>
      </w:r>
      <w:r>
        <w:rPr>
          <w:rStyle w:val="25"/>
          <w:rFonts w:ascii="Times New Roman" w:hAnsi="Times New Roman" w:eastAsia="仿宋_GB2312"/>
          <w:b w:val="0"/>
          <w:bCs/>
          <w:szCs w:val="32"/>
        </w:rPr>
        <w:t>（类）</w:t>
      </w:r>
      <w:r>
        <w:rPr>
          <w:rStyle w:val="25"/>
          <w:rFonts w:hint="eastAsia" w:ascii="Times New Roman" w:hAnsi="Times New Roman" w:eastAsia="仿宋_GB2312"/>
          <w:b w:val="0"/>
          <w:bCs/>
          <w:szCs w:val="32"/>
        </w:rPr>
        <w:t>其他</w:t>
      </w:r>
      <w:r>
        <w:rPr>
          <w:rStyle w:val="25"/>
          <w:rFonts w:ascii="Times New Roman" w:hAnsi="Times New Roman" w:eastAsia="仿宋_GB2312"/>
          <w:b w:val="0"/>
          <w:bCs/>
          <w:szCs w:val="32"/>
        </w:rPr>
        <w:t>农林水支出（</w:t>
      </w:r>
      <w:r>
        <w:rPr>
          <w:rStyle w:val="25"/>
          <w:rFonts w:hint="eastAsia" w:ascii="Times New Roman" w:hAnsi="Times New Roman" w:eastAsia="仿宋_GB2312"/>
          <w:b w:val="0"/>
          <w:bCs/>
          <w:szCs w:val="32"/>
        </w:rPr>
        <w:t>款</w:t>
      </w:r>
      <w:r>
        <w:rPr>
          <w:rStyle w:val="25"/>
          <w:rFonts w:ascii="Times New Roman" w:hAnsi="Times New Roman" w:eastAsia="仿宋_GB2312"/>
          <w:b w:val="0"/>
          <w:bCs/>
          <w:szCs w:val="32"/>
        </w:rPr>
        <w:t>）</w:t>
      </w:r>
      <w:r>
        <w:rPr>
          <w:rStyle w:val="25"/>
          <w:rFonts w:hint="eastAsia" w:ascii="Times New Roman" w:hAnsi="Times New Roman" w:eastAsia="仿宋_GB2312"/>
          <w:b w:val="0"/>
          <w:bCs/>
          <w:szCs w:val="32"/>
        </w:rPr>
        <w:t>其他农林水支出</w:t>
      </w:r>
      <w:r>
        <w:rPr>
          <w:rStyle w:val="25"/>
          <w:rFonts w:ascii="Times New Roman" w:hAnsi="Times New Roman" w:eastAsia="仿宋_GB2312"/>
          <w:b w:val="0"/>
          <w:bCs/>
          <w:szCs w:val="32"/>
        </w:rPr>
        <w:t>（</w:t>
      </w:r>
      <w:r>
        <w:rPr>
          <w:rStyle w:val="25"/>
          <w:rFonts w:hint="eastAsia" w:ascii="Times New Roman" w:hAnsi="Times New Roman" w:eastAsia="仿宋_GB2312"/>
          <w:b w:val="0"/>
          <w:bCs/>
          <w:szCs w:val="32"/>
        </w:rPr>
        <w:t>项</w:t>
      </w:r>
      <w:r>
        <w:rPr>
          <w:rStyle w:val="25"/>
          <w:rFonts w:ascii="Times New Roman" w:hAnsi="Times New Roman" w:eastAsia="仿宋_GB2312"/>
          <w:b w:val="0"/>
          <w:bCs/>
          <w:szCs w:val="32"/>
        </w:rPr>
        <w:t>）</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w:t>
      </w:r>
      <w:r>
        <w:rPr>
          <w:rStyle w:val="25"/>
          <w:rFonts w:hint="eastAsia" w:ascii="Times New Roman" w:hAnsi="Times New Roman" w:eastAsia="仿宋_GB2312"/>
          <w:b w:val="0"/>
          <w:bCs/>
          <w:szCs w:val="32"/>
        </w:rPr>
        <w:t>4.92万</w:t>
      </w:r>
      <w:r>
        <w:rPr>
          <w:rStyle w:val="25"/>
          <w:rFonts w:ascii="Times New Roman" w:hAnsi="Times New Roman" w:eastAsia="仿宋_GB2312"/>
          <w:b w:val="0"/>
          <w:bCs/>
          <w:szCs w:val="32"/>
        </w:rPr>
        <w:t>元，完成预算</w:t>
      </w:r>
      <w:r>
        <w:rPr>
          <w:rStyle w:val="25"/>
          <w:rFonts w:hint="eastAsia" w:ascii="Times New Roman" w:hAnsi="Times New Roman" w:eastAsia="仿宋_GB2312"/>
          <w:b w:val="0"/>
          <w:bCs/>
          <w:szCs w:val="32"/>
        </w:rPr>
        <w:t>100</w:t>
      </w:r>
      <w:r>
        <w:rPr>
          <w:rStyle w:val="25"/>
          <w:rFonts w:ascii="Times New Roman" w:hAnsi="Times New Roman" w:eastAsia="仿宋_GB2312"/>
          <w:b w:val="0"/>
          <w:bCs/>
          <w:szCs w:val="32"/>
        </w:rPr>
        <w:t>%，决算数等于预算数。</w:t>
      </w:r>
    </w:p>
    <w:p w14:paraId="3151986F">
      <w:pPr>
        <w:spacing w:line="600" w:lineRule="exact"/>
        <w:ind w:firstLine="640"/>
        <w:rPr>
          <w:rFonts w:ascii="Times New Roman" w:hAnsi="Times New Roman" w:eastAsia="仿宋_GB2312"/>
          <w:szCs w:val="32"/>
        </w:rPr>
      </w:pPr>
      <w:r>
        <w:rPr>
          <w:rStyle w:val="25"/>
          <w:rFonts w:ascii="Times New Roman" w:hAnsi="Times New Roman" w:eastAsia="仿宋_GB2312"/>
          <w:b w:val="0"/>
          <w:bCs/>
          <w:szCs w:val="32"/>
        </w:rPr>
        <w:t>3.</w:t>
      </w:r>
      <w:r>
        <w:rPr>
          <w:rFonts w:ascii="Times New Roman" w:hAnsi="Times New Roman" w:eastAsia="仿宋_GB2312"/>
        </w:rPr>
        <w:t xml:space="preserve"> </w:t>
      </w:r>
      <w:r>
        <w:rPr>
          <w:rFonts w:ascii="Times New Roman" w:hAnsi="Times New Roman" w:eastAsia="仿宋_GB2312"/>
          <w:szCs w:val="32"/>
        </w:rPr>
        <w:t>卫生健康（类）行政事业单位医疗（款）行政事业单位医疗（项）：支出决算为18.44万元，完成预算100%，决算数等于预算数</w:t>
      </w:r>
      <w:r>
        <w:rPr>
          <w:rFonts w:hint="eastAsia" w:ascii="Times New Roman" w:hAnsi="Times New Roman" w:eastAsia="仿宋_GB2312"/>
          <w:szCs w:val="32"/>
        </w:rPr>
        <w:t>；</w:t>
      </w:r>
      <w:r>
        <w:rPr>
          <w:rFonts w:ascii="Times New Roman" w:hAnsi="Times New Roman" w:eastAsia="仿宋_GB2312"/>
          <w:szCs w:val="32"/>
        </w:rPr>
        <w:t>卫生健康（类）行政事业单位医疗（款）公务员医疗补助（项）：支出决算为2.06万元，完成预算100%，决算数等于预算数。</w:t>
      </w:r>
    </w:p>
    <w:p w14:paraId="4E4FEB16">
      <w:pPr>
        <w:spacing w:line="600" w:lineRule="exact"/>
        <w:ind w:firstLine="640"/>
        <w:rPr>
          <w:rStyle w:val="25"/>
          <w:rFonts w:ascii="Times New Roman" w:hAnsi="Times New Roman" w:eastAsia="仿宋_GB2312"/>
          <w:b w:val="0"/>
          <w:bCs/>
          <w:szCs w:val="32"/>
        </w:rPr>
      </w:pPr>
      <w:r>
        <w:rPr>
          <w:rStyle w:val="25"/>
          <w:rFonts w:ascii="Times New Roman" w:hAnsi="Times New Roman" w:eastAsia="仿宋_GB2312"/>
          <w:b w:val="0"/>
          <w:bCs/>
          <w:szCs w:val="32"/>
        </w:rPr>
        <w:t>4.</w:t>
      </w:r>
      <w:r>
        <w:rPr>
          <w:rFonts w:ascii="Times New Roman" w:hAnsi="Times New Roman" w:eastAsia="仿宋_GB2312"/>
        </w:rPr>
        <w:t xml:space="preserve"> </w:t>
      </w:r>
      <w:r>
        <w:rPr>
          <w:rFonts w:ascii="Times New Roman" w:hAnsi="Times New Roman" w:eastAsia="仿宋_GB2312"/>
          <w:bCs/>
          <w:szCs w:val="32"/>
        </w:rPr>
        <w:t>住房保障支出</w:t>
      </w:r>
      <w:r>
        <w:rPr>
          <w:rStyle w:val="25"/>
          <w:rFonts w:ascii="Times New Roman" w:hAnsi="Times New Roman" w:eastAsia="仿宋_GB2312"/>
          <w:b w:val="0"/>
          <w:bCs/>
          <w:szCs w:val="32"/>
        </w:rPr>
        <w:t>（类）住房改革支出（款）住房公积金（项）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支出决算为27.64万元，完成预算100%</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决算数等于预算数。</w:t>
      </w:r>
    </w:p>
    <w:p w14:paraId="6AFA83C8">
      <w:pPr>
        <w:tabs>
          <w:tab w:val="right" w:pos="8306"/>
        </w:tabs>
        <w:spacing w:line="600" w:lineRule="exact"/>
        <w:ind w:firstLine="640"/>
        <w:outlineLvl w:val="1"/>
        <w:rPr>
          <w:rStyle w:val="28"/>
          <w:rFonts w:ascii="Times New Roman" w:hAnsi="Times New Roman"/>
        </w:rPr>
      </w:pPr>
      <w:bookmarkStart w:id="17" w:name="_Toc207996182"/>
      <w:r>
        <w:rPr>
          <w:rFonts w:ascii="Times New Roman" w:hAnsi="Times New Roman" w:eastAsia="黑体"/>
          <w:szCs w:val="32"/>
        </w:rPr>
        <w:t>六</w:t>
      </w:r>
      <w:r>
        <w:rPr>
          <w:rFonts w:ascii="Times New Roman" w:hAnsi="Times New Roman" w:eastAsia="黑体"/>
          <w:b/>
          <w:szCs w:val="32"/>
        </w:rPr>
        <w:t>、一</w:t>
      </w:r>
      <w:r>
        <w:rPr>
          <w:rStyle w:val="28"/>
          <w:rFonts w:ascii="Times New Roman" w:hAnsi="Times New Roman" w:eastAsia="黑体"/>
          <w:b w:val="0"/>
        </w:rPr>
        <w:t>般公共预算财政拨款基本支出决算情况说明</w:t>
      </w:r>
      <w:bookmarkEnd w:id="17"/>
      <w:r>
        <w:rPr>
          <w:rStyle w:val="28"/>
          <w:rFonts w:ascii="Times New Roman" w:hAnsi="Times New Roman" w:eastAsia="黑体"/>
          <w:b w:val="0"/>
        </w:rPr>
        <w:tab/>
      </w:r>
    </w:p>
    <w:p w14:paraId="279E72DD">
      <w:pPr>
        <w:spacing w:line="600" w:lineRule="exact"/>
        <w:ind w:firstLine="640"/>
        <w:rPr>
          <w:rFonts w:ascii="Times New Roman" w:hAnsi="Times New Roman" w:eastAsia="仿宋_GB2312"/>
          <w:szCs w:val="32"/>
        </w:rPr>
      </w:pPr>
      <w:r>
        <w:rPr>
          <w:rFonts w:ascii="Times New Roman" w:hAnsi="Times New Roman" w:eastAsia="仿宋_GB2312"/>
          <w:szCs w:val="32"/>
        </w:rPr>
        <w:t>2025年度一般公共预算财政拨款基本支出399.79万元，其中：</w:t>
      </w:r>
    </w:p>
    <w:p w14:paraId="22C8C7E7">
      <w:pPr>
        <w:spacing w:line="600" w:lineRule="exact"/>
        <w:ind w:firstLine="640"/>
        <w:rPr>
          <w:rFonts w:ascii="Times New Roman" w:hAnsi="Times New Roman" w:eastAsia="仿宋_GB2312"/>
          <w:szCs w:val="32"/>
        </w:rPr>
      </w:pPr>
      <w:r>
        <w:rPr>
          <w:rFonts w:ascii="Times New Roman" w:hAnsi="Times New Roman" w:eastAsia="仿宋_GB2312"/>
          <w:szCs w:val="32"/>
        </w:rPr>
        <w:t>人员经费367.84万元，主要包括：基本工资、津贴补贴、奖金、机关事业单位基本养老保险缴费、职工基本医疗保险缴费、公务员医疗补助缴费、其他社会保障缴费、住房公积金、其他工资福利支出、生活补助、医疗费补助。</w:t>
      </w:r>
    </w:p>
    <w:p w14:paraId="6E3AD8EB">
      <w:pPr>
        <w:spacing w:line="600" w:lineRule="exact"/>
        <w:ind w:firstLine="0" w:firstLineChars="0"/>
        <w:rPr>
          <w:rFonts w:ascii="Times New Roman" w:hAnsi="Times New Roman" w:eastAsia="仿宋_GB2312"/>
          <w:szCs w:val="32"/>
        </w:rPr>
      </w:pPr>
      <w:r>
        <w:rPr>
          <w:rFonts w:ascii="Times New Roman" w:hAnsi="Times New Roman" w:eastAsia="仿宋_GB2312"/>
          <w:szCs w:val="32"/>
        </w:rPr>
        <w:t>公用经费31.95万元，主要包括：办公费、水费、电费、邮电费、物业管理费、差旅费、培训费、工会经费、福利费、公务用车运行维护费、其他交通费、其他商品和服务支出。</w:t>
      </w:r>
    </w:p>
    <w:p w14:paraId="049042E0">
      <w:pPr>
        <w:pStyle w:val="2"/>
        <w:ind w:firstLine="360"/>
      </w:pPr>
    </w:p>
    <w:p w14:paraId="62A0AC6D">
      <w:pPr>
        <w:spacing w:line="600" w:lineRule="exact"/>
        <w:ind w:firstLine="640"/>
        <w:outlineLvl w:val="1"/>
        <w:rPr>
          <w:rStyle w:val="28"/>
          <w:rFonts w:ascii="Times New Roman" w:hAnsi="Times New Roman" w:eastAsia="黑体"/>
          <w:b w:val="0"/>
        </w:rPr>
      </w:pPr>
      <w:bookmarkStart w:id="18" w:name="_Toc207996183"/>
      <w:r>
        <w:rPr>
          <w:rFonts w:ascii="Times New Roman" w:hAnsi="Times New Roman" w:eastAsia="黑体"/>
          <w:szCs w:val="32"/>
        </w:rPr>
        <w:t>七、</w:t>
      </w:r>
      <w:r>
        <w:rPr>
          <w:rStyle w:val="28"/>
          <w:rFonts w:ascii="Times New Roman" w:hAnsi="Times New Roman" w:eastAsia="黑体"/>
          <w:b w:val="0"/>
        </w:rPr>
        <w:t>财政拨款</w:t>
      </w:r>
      <w:r>
        <w:rPr>
          <w:rStyle w:val="28"/>
          <w:rFonts w:ascii="Times New Roman" w:hAnsi="Times New Roman" w:eastAsia="黑体"/>
        </w:rPr>
        <w:t>“</w:t>
      </w:r>
      <w:r>
        <w:rPr>
          <w:rStyle w:val="28"/>
          <w:rFonts w:ascii="Times New Roman" w:hAnsi="Times New Roman" w:eastAsia="黑体"/>
          <w:b w:val="0"/>
        </w:rPr>
        <w:t>三公”经费支出决算情况说明</w:t>
      </w:r>
      <w:bookmarkEnd w:id="18"/>
    </w:p>
    <w:p w14:paraId="4903B195">
      <w:pPr>
        <w:spacing w:line="600" w:lineRule="exact"/>
        <w:ind w:firstLine="643"/>
        <w:jc w:val="left"/>
        <w:outlineLvl w:val="2"/>
        <w:rPr>
          <w:rFonts w:eastAsia="楷体_GB2312" w:cs="楷体_GB2312"/>
          <w:b/>
          <w:szCs w:val="32"/>
        </w:rPr>
      </w:pPr>
      <w:r>
        <w:rPr>
          <w:rFonts w:eastAsia="楷体_GB2312" w:cs="楷体_GB2312"/>
          <w:b/>
          <w:szCs w:val="32"/>
        </w:rPr>
        <w:t>（一）“三公”经费财政拨款支出决算总体情况说明</w:t>
      </w:r>
    </w:p>
    <w:p w14:paraId="2DC06EC2">
      <w:pPr>
        <w:spacing w:line="600" w:lineRule="exact"/>
        <w:ind w:firstLine="640"/>
        <w:rPr>
          <w:rFonts w:ascii="Times New Roman" w:hAnsi="Times New Roman" w:eastAsia="仿宋_GB2312"/>
          <w:szCs w:val="32"/>
        </w:rPr>
      </w:pPr>
      <w:r>
        <w:rPr>
          <w:rFonts w:ascii="Times New Roman" w:hAnsi="Times New Roman" w:eastAsia="仿宋_GB2312"/>
          <w:szCs w:val="32"/>
        </w:rPr>
        <w:t>2025年度“三公”经费财政拨款支出决算为3.66万元，完成预算100%，较上年度</w:t>
      </w:r>
      <w:r>
        <w:rPr>
          <w:rFonts w:hint="eastAsia" w:ascii="Times New Roman" w:hAnsi="Times New Roman" w:eastAsia="仿宋_GB2312"/>
          <w:szCs w:val="32"/>
        </w:rPr>
        <w:t>减少</w:t>
      </w:r>
      <w:r>
        <w:rPr>
          <w:rFonts w:ascii="Times New Roman" w:hAnsi="Times New Roman" w:eastAsia="仿宋_GB2312"/>
          <w:szCs w:val="32"/>
        </w:rPr>
        <w:t>0.63万元，</w:t>
      </w:r>
      <w:r>
        <w:rPr>
          <w:rFonts w:hint="eastAsia" w:ascii="Times New Roman" w:hAnsi="Times New Roman" w:eastAsia="仿宋_GB2312"/>
          <w:szCs w:val="32"/>
        </w:rPr>
        <w:t>下降</w:t>
      </w:r>
      <w:r>
        <w:rPr>
          <w:rFonts w:ascii="Times New Roman" w:hAnsi="Times New Roman" w:eastAsia="仿宋_GB2312"/>
          <w:szCs w:val="32"/>
        </w:rPr>
        <w:t>14.7%。决算数与预算数持平。</w:t>
      </w:r>
    </w:p>
    <w:p w14:paraId="4A65C2D8">
      <w:pPr>
        <w:spacing w:line="600" w:lineRule="exact"/>
        <w:ind w:firstLine="643"/>
        <w:jc w:val="left"/>
        <w:outlineLvl w:val="2"/>
        <w:rPr>
          <w:rFonts w:eastAsia="楷体_GB2312" w:cs="楷体_GB2312"/>
          <w:b/>
          <w:szCs w:val="32"/>
        </w:rPr>
      </w:pPr>
      <w:r>
        <w:rPr>
          <w:rFonts w:eastAsia="楷体_GB2312" w:cs="楷体_GB2312"/>
          <w:b/>
          <w:szCs w:val="32"/>
        </w:rPr>
        <w:t>（二）“三公”经费财政拨款支出决算具体情况说明</w:t>
      </w:r>
    </w:p>
    <w:p w14:paraId="4E895A05">
      <w:pPr>
        <w:spacing w:line="600" w:lineRule="exact"/>
        <w:ind w:firstLine="640"/>
        <w:rPr>
          <w:rFonts w:ascii="Times New Roman" w:hAnsi="Times New Roman" w:eastAsia="仿宋_GB2312"/>
          <w:szCs w:val="32"/>
        </w:rPr>
      </w:pPr>
      <w:r>
        <w:rPr>
          <w:rFonts w:ascii="Times New Roman" w:hAnsi="Times New Roman" w:eastAsia="仿宋_GB2312"/>
        </w:rPr>
        <w:drawing>
          <wp:anchor distT="0" distB="0" distL="114300" distR="114300" simplePos="0" relativeHeight="251659264" behindDoc="1" locked="0" layoutInCell="1" allowOverlap="1">
            <wp:simplePos x="0" y="0"/>
            <wp:positionH relativeFrom="margin">
              <wp:align>center</wp:align>
            </wp:positionH>
            <wp:positionV relativeFrom="paragraph">
              <wp:posOffset>929640</wp:posOffset>
            </wp:positionV>
            <wp:extent cx="4714875" cy="2629535"/>
            <wp:effectExtent l="0" t="0" r="9525" b="18415"/>
            <wp:wrapTight wrapText="bothSides">
              <wp:wrapPolygon>
                <wp:start x="0" y="0"/>
                <wp:lineTo x="0" y="21595"/>
                <wp:lineTo x="21556" y="21595"/>
                <wp:lineTo x="21556" y="0"/>
                <wp:lineTo x="0" y="0"/>
              </wp:wrapPolygon>
            </wp:wrapTight>
            <wp:docPr id="9" name="图表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anchor>
        </w:drawing>
      </w:r>
      <w:r>
        <w:rPr>
          <w:rFonts w:ascii="Times New Roman" w:hAnsi="Times New Roman" w:eastAsia="仿宋_GB2312"/>
          <w:szCs w:val="32"/>
        </w:rPr>
        <w:t>2025年度“三公”经费财政拨款支出决算中，公务用车运行维护费支出决算3.66万元，占100%。具体情况如下：</w:t>
      </w:r>
    </w:p>
    <w:p w14:paraId="064F52DA">
      <w:pPr>
        <w:spacing w:line="600" w:lineRule="exact"/>
        <w:ind w:firstLine="643"/>
        <w:rPr>
          <w:rFonts w:ascii="Times New Roman" w:hAnsi="Times New Roman" w:eastAsia="仿宋_GB2312"/>
          <w:szCs w:val="32"/>
        </w:rPr>
      </w:pPr>
      <w:r>
        <w:rPr>
          <w:rFonts w:ascii="Times New Roman" w:hAnsi="Times New Roman" w:eastAsia="仿宋_GB2312"/>
          <w:b/>
          <w:szCs w:val="32"/>
        </w:rPr>
        <w:t>1.因公出国（境）经费支出</w:t>
      </w:r>
      <w:r>
        <w:rPr>
          <w:rFonts w:ascii="Times New Roman" w:hAnsi="Times New Roman" w:eastAsia="仿宋_GB2312"/>
          <w:szCs w:val="32"/>
        </w:rPr>
        <w:t>0万元。</w:t>
      </w:r>
    </w:p>
    <w:p w14:paraId="2C2A314A">
      <w:pPr>
        <w:spacing w:line="600" w:lineRule="exact"/>
        <w:ind w:firstLine="643"/>
        <w:rPr>
          <w:rFonts w:ascii="Times New Roman" w:hAnsi="Times New Roman"/>
          <w:szCs w:val="32"/>
        </w:rPr>
      </w:pPr>
      <w:r>
        <w:rPr>
          <w:rFonts w:ascii="Times New Roman" w:hAnsi="Times New Roman" w:eastAsia="仿宋_GB2312"/>
          <w:b/>
          <w:szCs w:val="32"/>
        </w:rPr>
        <w:t>2.公务用车购置及运行维护费支出</w:t>
      </w:r>
      <w:r>
        <w:rPr>
          <w:rFonts w:ascii="Times New Roman" w:hAnsi="Times New Roman"/>
          <w:b/>
          <w:szCs w:val="32"/>
        </w:rPr>
        <w:t>3.66</w:t>
      </w:r>
      <w:r>
        <w:rPr>
          <w:rFonts w:ascii="Times New Roman" w:hAnsi="Times New Roman" w:eastAsia="仿宋_GB2312"/>
          <w:szCs w:val="32"/>
        </w:rPr>
        <w:t>万元</w:t>
      </w:r>
      <w:r>
        <w:rPr>
          <w:rFonts w:hint="eastAsia" w:ascii="Times New Roman" w:hAnsi="Times New Roman" w:eastAsia="仿宋_GB2312"/>
          <w:szCs w:val="32"/>
          <w:lang w:eastAsia="zh-CN"/>
        </w:rPr>
        <w:t>，</w:t>
      </w:r>
      <w:r>
        <w:rPr>
          <w:rStyle w:val="25"/>
          <w:rFonts w:ascii="Times New Roman" w:hAnsi="Times New Roman"/>
          <w:b w:val="0"/>
          <w:bCs/>
          <w:szCs w:val="32"/>
        </w:rPr>
        <w:t>完成预算100%。</w:t>
      </w:r>
      <w:r>
        <w:rPr>
          <w:rFonts w:ascii="Times New Roman" w:hAnsi="Times New Roman" w:eastAsia="仿宋_GB2312"/>
          <w:szCs w:val="32"/>
        </w:rPr>
        <w:t>公务用车购置及运行维护费支出决算比2024年度</w:t>
      </w:r>
      <w:r>
        <w:rPr>
          <w:rFonts w:hint="eastAsia" w:ascii="Times New Roman" w:hAnsi="Times New Roman" w:eastAsia="仿宋_GB2312"/>
          <w:szCs w:val="32"/>
        </w:rPr>
        <w:t>减少</w:t>
      </w:r>
      <w:r>
        <w:rPr>
          <w:rFonts w:ascii="Times New Roman" w:hAnsi="Times New Roman" w:eastAsia="仿宋_GB2312"/>
          <w:szCs w:val="32"/>
        </w:rPr>
        <w:t>0.63万元，</w:t>
      </w:r>
      <w:r>
        <w:rPr>
          <w:rFonts w:hint="eastAsia" w:ascii="Times New Roman" w:hAnsi="Times New Roman" w:eastAsia="仿宋_GB2312"/>
          <w:szCs w:val="32"/>
        </w:rPr>
        <w:t>下降</w:t>
      </w:r>
      <w:r>
        <w:rPr>
          <w:rFonts w:ascii="Times New Roman" w:hAnsi="Times New Roman" w:eastAsia="仿宋_GB2312"/>
          <w:szCs w:val="32"/>
        </w:rPr>
        <w:t>14.7%。主要原因是2024年</w:t>
      </w:r>
      <w:r>
        <w:rPr>
          <w:rFonts w:ascii="Times New Roman" w:hAnsi="Times New Roman"/>
          <w:szCs w:val="32"/>
        </w:rPr>
        <w:t>车辆更换老化零件</w:t>
      </w:r>
      <w:r>
        <w:rPr>
          <w:rFonts w:hint="eastAsia" w:ascii="Times New Roman" w:hAnsi="Times New Roman"/>
          <w:szCs w:val="32"/>
        </w:rPr>
        <w:t>，2025年</w:t>
      </w:r>
      <w:r>
        <w:rPr>
          <w:rFonts w:ascii="Times New Roman" w:hAnsi="Times New Roman"/>
          <w:szCs w:val="32"/>
        </w:rPr>
        <w:t>车辆无大修。</w:t>
      </w:r>
    </w:p>
    <w:p w14:paraId="69B1B148">
      <w:pPr>
        <w:spacing w:line="600" w:lineRule="exact"/>
        <w:ind w:firstLine="640"/>
        <w:rPr>
          <w:rFonts w:ascii="Times New Roman" w:hAnsi="Times New Roman" w:eastAsia="仿宋_GB2312"/>
          <w:b/>
          <w:szCs w:val="32"/>
        </w:rPr>
      </w:pPr>
      <w:r>
        <w:rPr>
          <w:rFonts w:ascii="Times New Roman" w:hAnsi="Times New Roman" w:eastAsia="仿宋_GB2312"/>
          <w:szCs w:val="32"/>
        </w:rPr>
        <w:t>其中：</w:t>
      </w:r>
      <w:r>
        <w:rPr>
          <w:rFonts w:ascii="Times New Roman" w:hAnsi="Times New Roman" w:eastAsia="仿宋_GB2312"/>
          <w:b/>
          <w:szCs w:val="32"/>
        </w:rPr>
        <w:t>公务用车购置支出</w:t>
      </w:r>
      <w:r>
        <w:rPr>
          <w:rFonts w:ascii="Times New Roman" w:hAnsi="Times New Roman" w:eastAsia="仿宋_GB2312"/>
          <w:szCs w:val="32"/>
        </w:rPr>
        <w:t>0万元。全年按规定更新购置公务用车0辆，其中：轿车0辆、金额0万元，越野车0辆、金额0万元，载客汽车0辆、金额0万元。截至2025年12月31日，单位共有公务用车2辆，其中：轿车0辆、越野车2辆、载客汽车0辆。</w:t>
      </w:r>
    </w:p>
    <w:p w14:paraId="60EB0958">
      <w:pPr>
        <w:spacing w:line="600" w:lineRule="exact"/>
        <w:ind w:firstLine="643"/>
        <w:rPr>
          <w:rFonts w:ascii="Times New Roman" w:hAnsi="Times New Roman" w:eastAsia="仿宋_GB2312"/>
          <w:szCs w:val="32"/>
        </w:rPr>
      </w:pPr>
      <w:r>
        <w:rPr>
          <w:rFonts w:ascii="Times New Roman" w:hAnsi="Times New Roman" w:eastAsia="仿宋_GB2312"/>
          <w:b/>
          <w:szCs w:val="32"/>
        </w:rPr>
        <w:t>公务用车运行维护费支出</w:t>
      </w:r>
      <w:r>
        <w:rPr>
          <w:rFonts w:ascii="Times New Roman" w:hAnsi="Times New Roman" w:eastAsia="仿宋_GB2312"/>
          <w:szCs w:val="32"/>
        </w:rPr>
        <w:t>3.66万元。主要用于公务用车燃料费、维修费、过路过桥费、保险费等支出。</w:t>
      </w:r>
    </w:p>
    <w:p w14:paraId="33B72CA3">
      <w:pPr>
        <w:spacing w:line="600" w:lineRule="exact"/>
        <w:ind w:firstLine="643"/>
        <w:rPr>
          <w:rFonts w:ascii="Times New Roman" w:hAnsi="Times New Roman" w:eastAsia="仿宋_GB2312"/>
          <w:szCs w:val="32"/>
        </w:rPr>
      </w:pPr>
      <w:r>
        <w:rPr>
          <w:rFonts w:ascii="Times New Roman" w:hAnsi="Times New Roman" w:eastAsia="仿宋_GB2312"/>
          <w:b/>
          <w:szCs w:val="32"/>
        </w:rPr>
        <w:t>3.公务接待费支出</w:t>
      </w:r>
      <w:r>
        <w:rPr>
          <w:rFonts w:ascii="Times New Roman" w:hAnsi="Times New Roman" w:eastAsia="仿宋_GB2312"/>
          <w:szCs w:val="32"/>
        </w:rPr>
        <w:t>0万元</w:t>
      </w:r>
      <w:r>
        <w:rPr>
          <w:rFonts w:hint="eastAsia" w:ascii="Times New Roman" w:hAnsi="Times New Roman" w:eastAsia="仿宋_GB2312"/>
          <w:szCs w:val="32"/>
        </w:rPr>
        <w:t>。</w:t>
      </w:r>
      <w:r>
        <w:rPr>
          <w:rFonts w:ascii="Times New Roman" w:hAnsi="Times New Roman" w:eastAsia="仿宋_GB2312"/>
          <w:szCs w:val="32"/>
        </w:rPr>
        <w:t xml:space="preserve"> </w:t>
      </w:r>
    </w:p>
    <w:p w14:paraId="15FD45AD">
      <w:pPr>
        <w:spacing w:line="600" w:lineRule="exact"/>
        <w:ind w:firstLine="640"/>
        <w:outlineLvl w:val="1"/>
        <w:rPr>
          <w:rFonts w:ascii="黑体" w:hAnsi="黑体" w:eastAsia="黑体"/>
          <w:b/>
          <w:bCs/>
        </w:rPr>
      </w:pPr>
      <w:bookmarkStart w:id="19" w:name="_Toc207996184"/>
      <w:r>
        <w:rPr>
          <w:rFonts w:ascii="黑体" w:hAnsi="黑体" w:eastAsia="黑体"/>
          <w:szCs w:val="32"/>
        </w:rPr>
        <w:t>八、</w:t>
      </w:r>
      <w:r>
        <w:rPr>
          <w:rFonts w:ascii="黑体" w:hAnsi="黑体" w:eastAsia="黑体"/>
          <w:bCs/>
        </w:rPr>
        <w:t>政府性基金预算支出决算情况说明</w:t>
      </w:r>
      <w:bookmarkEnd w:id="19"/>
    </w:p>
    <w:p w14:paraId="3066B359">
      <w:pPr>
        <w:spacing w:line="600" w:lineRule="exact"/>
        <w:ind w:firstLine="640"/>
        <w:rPr>
          <w:rFonts w:ascii="Times New Roman" w:hAnsi="Times New Roman" w:eastAsia="仿宋_GB2312"/>
          <w:szCs w:val="32"/>
        </w:rPr>
      </w:pPr>
      <w:r>
        <w:rPr>
          <w:rFonts w:ascii="Times New Roman" w:hAnsi="Times New Roman" w:eastAsia="仿宋_GB2312"/>
          <w:szCs w:val="32"/>
        </w:rPr>
        <w:t>2025年度政府性基金预算财政拨款支出0万元。</w:t>
      </w:r>
    </w:p>
    <w:p w14:paraId="6EFB2B54">
      <w:pPr>
        <w:spacing w:line="600" w:lineRule="exact"/>
        <w:ind w:firstLine="640"/>
        <w:rPr>
          <w:rFonts w:ascii="Times New Roman" w:hAnsi="Times New Roman" w:eastAsia="仿宋_GB2312"/>
          <w:szCs w:val="32"/>
        </w:rPr>
      </w:pPr>
    </w:p>
    <w:p w14:paraId="34BA3917">
      <w:pPr>
        <w:spacing w:line="600" w:lineRule="exact"/>
        <w:ind w:firstLine="640"/>
        <w:outlineLvl w:val="1"/>
        <w:rPr>
          <w:rFonts w:ascii="黑体" w:hAnsi="黑体" w:eastAsia="黑体"/>
          <w:bCs/>
        </w:rPr>
      </w:pPr>
      <w:bookmarkStart w:id="20" w:name="_Toc207996185"/>
      <w:r>
        <w:rPr>
          <w:rFonts w:ascii="黑体" w:hAnsi="黑体" w:eastAsia="黑体"/>
          <w:bCs/>
        </w:rPr>
        <w:t>九、国有资本经营预算支出决算情况说明</w:t>
      </w:r>
      <w:bookmarkEnd w:id="20"/>
    </w:p>
    <w:p w14:paraId="672CFFB2">
      <w:pPr>
        <w:spacing w:line="600" w:lineRule="exact"/>
        <w:ind w:firstLine="640"/>
        <w:rPr>
          <w:rFonts w:ascii="Times New Roman" w:hAnsi="Times New Roman" w:eastAsia="仿宋_GB2312"/>
          <w:szCs w:val="32"/>
        </w:rPr>
      </w:pPr>
      <w:r>
        <w:rPr>
          <w:rFonts w:ascii="Times New Roman" w:hAnsi="Times New Roman" w:eastAsia="仿宋_GB2312"/>
          <w:szCs w:val="32"/>
        </w:rPr>
        <w:t>2025年度国有资本经营预算财政拨款支出0万元。</w:t>
      </w:r>
    </w:p>
    <w:p w14:paraId="445A2F6C">
      <w:pPr>
        <w:spacing w:line="580" w:lineRule="exact"/>
        <w:ind w:firstLine="880"/>
        <w:jc w:val="center"/>
        <w:rPr>
          <w:rFonts w:ascii="Times New Roman" w:hAnsi="Times New Roman" w:eastAsia="方正小标宋简体"/>
          <w:sz w:val="44"/>
          <w:szCs w:val="44"/>
        </w:rPr>
      </w:pPr>
    </w:p>
    <w:p w14:paraId="52DA2151">
      <w:pPr>
        <w:spacing w:line="600" w:lineRule="exact"/>
        <w:ind w:firstLine="640"/>
        <w:outlineLvl w:val="1"/>
        <w:rPr>
          <w:rStyle w:val="28"/>
          <w:rFonts w:ascii="Times New Roman" w:hAnsi="Times New Roman" w:eastAsia="黑体"/>
          <w:b w:val="0"/>
        </w:rPr>
      </w:pPr>
      <w:bookmarkStart w:id="21" w:name="_Toc207996186"/>
      <w:r>
        <w:rPr>
          <w:rStyle w:val="28"/>
          <w:rFonts w:ascii="Times New Roman" w:hAnsi="Times New Roman" w:eastAsia="黑体"/>
          <w:b w:val="0"/>
        </w:rPr>
        <w:t>十、其他重要事项的情况说明</w:t>
      </w:r>
      <w:bookmarkEnd w:id="21"/>
    </w:p>
    <w:p w14:paraId="153D0D86">
      <w:pPr>
        <w:spacing w:line="600" w:lineRule="exact"/>
        <w:ind w:firstLine="643"/>
        <w:jc w:val="left"/>
        <w:outlineLvl w:val="2"/>
        <w:rPr>
          <w:rFonts w:eastAsia="楷体_GB2312" w:cs="楷体_GB2312"/>
          <w:b/>
          <w:szCs w:val="32"/>
        </w:rPr>
      </w:pPr>
      <w:r>
        <w:rPr>
          <w:rFonts w:eastAsia="楷体_GB2312" w:cs="楷体_GB2312"/>
          <w:b/>
          <w:szCs w:val="32"/>
        </w:rPr>
        <w:t>（一）机关运行经费支出情况</w:t>
      </w:r>
    </w:p>
    <w:p w14:paraId="623C9323">
      <w:pPr>
        <w:spacing w:line="600" w:lineRule="exact"/>
        <w:ind w:firstLine="640"/>
        <w:rPr>
          <w:rFonts w:ascii="Times New Roman" w:hAnsi="Times New Roman" w:eastAsia="仿宋_GB2312"/>
          <w:szCs w:val="32"/>
        </w:rPr>
      </w:pPr>
      <w:r>
        <w:rPr>
          <w:rFonts w:ascii="Times New Roman" w:hAnsi="Times New Roman" w:eastAsia="仿宋_GB2312"/>
          <w:szCs w:val="32"/>
        </w:rPr>
        <w:t>2025年度，攀枝花市森林病虫防治检疫站机关运行经费支出31.95万元，比2024年度增加3.39万元，增长11.9%。主要原因是2024年因机构改革，原市林业执法稽查队撤销，8人合并至我单位，2025年</w:t>
      </w:r>
      <w:r>
        <w:rPr>
          <w:rFonts w:hint="eastAsia" w:ascii="Times New Roman" w:hAnsi="Times New Roman" w:eastAsia="仿宋_GB2312"/>
          <w:szCs w:val="32"/>
        </w:rPr>
        <w:t>新考入2人，</w:t>
      </w:r>
      <w:r>
        <w:rPr>
          <w:rFonts w:ascii="Times New Roman" w:hAnsi="Times New Roman" w:eastAsia="仿宋_GB2312"/>
          <w:szCs w:val="32"/>
        </w:rPr>
        <w:t>人员、公用经费增加。</w:t>
      </w:r>
    </w:p>
    <w:p w14:paraId="48E58E2A">
      <w:pPr>
        <w:spacing w:line="600" w:lineRule="exact"/>
        <w:ind w:firstLine="643"/>
        <w:jc w:val="left"/>
        <w:outlineLvl w:val="2"/>
        <w:rPr>
          <w:rFonts w:eastAsia="楷体_GB2312" w:cs="楷体_GB2312"/>
          <w:b/>
          <w:szCs w:val="32"/>
        </w:rPr>
      </w:pPr>
      <w:r>
        <w:rPr>
          <w:rFonts w:eastAsia="楷体_GB2312" w:cs="楷体_GB2312"/>
          <w:b/>
          <w:szCs w:val="32"/>
        </w:rPr>
        <w:t>（二）政府采购支出情况</w:t>
      </w:r>
    </w:p>
    <w:p w14:paraId="298BC30A">
      <w:pPr>
        <w:spacing w:line="600" w:lineRule="exact"/>
        <w:ind w:firstLine="640"/>
        <w:rPr>
          <w:rFonts w:ascii="Times New Roman" w:hAnsi="Times New Roman" w:eastAsia="仿宋_GB2312"/>
          <w:szCs w:val="32"/>
        </w:rPr>
      </w:pPr>
      <w:r>
        <w:rPr>
          <w:rFonts w:ascii="Times New Roman" w:hAnsi="Times New Roman" w:eastAsia="仿宋_GB2312"/>
          <w:szCs w:val="32"/>
        </w:rPr>
        <w:t>2025年度，攀枝花市森林病虫防治检疫站政府采购支出总额5.95万元，其中：政府采购货物支出1.66万元、政府采购工程支出0万元、政府采购服务支出4.3万元。主要用于</w:t>
      </w:r>
      <w:r>
        <w:rPr>
          <w:rFonts w:hint="eastAsia" w:ascii="Times New Roman" w:hAnsi="Times New Roman" w:eastAsia="仿宋_GB2312"/>
          <w:szCs w:val="32"/>
        </w:rPr>
        <w:t>采购</w:t>
      </w:r>
      <w:r>
        <w:rPr>
          <w:rFonts w:ascii="Times New Roman" w:hAnsi="Times New Roman" w:eastAsia="仿宋_GB2312"/>
          <w:szCs w:val="32"/>
        </w:rPr>
        <w:t>单位复印机、空调、购买车辆保险及维修。授予中小企业合同金额5.58万元，占政府采购支出总额的93.8%，其中：授予小微企业合同金额5.58万元，占政府采购支出总额的93.58%。</w:t>
      </w:r>
    </w:p>
    <w:p w14:paraId="71C6320B">
      <w:pPr>
        <w:spacing w:line="600" w:lineRule="exact"/>
        <w:ind w:firstLine="643"/>
        <w:jc w:val="left"/>
        <w:outlineLvl w:val="2"/>
        <w:rPr>
          <w:rFonts w:eastAsia="楷体_GB2312" w:cs="楷体_GB2312"/>
          <w:b/>
          <w:szCs w:val="32"/>
        </w:rPr>
      </w:pPr>
      <w:r>
        <w:rPr>
          <w:rFonts w:eastAsia="楷体_GB2312" w:cs="楷体_GB2312"/>
          <w:b/>
          <w:szCs w:val="32"/>
        </w:rPr>
        <w:t>（三）国有资产占有使用情况</w:t>
      </w:r>
    </w:p>
    <w:p w14:paraId="5B7AC0E9">
      <w:pPr>
        <w:autoSpaceDE w:val="0"/>
        <w:autoSpaceDN w:val="0"/>
        <w:adjustRightInd w:val="0"/>
        <w:spacing w:line="600" w:lineRule="exact"/>
        <w:ind w:firstLine="640"/>
        <w:jc w:val="left"/>
        <w:rPr>
          <w:rFonts w:ascii="Times New Roman" w:hAnsi="Times New Roman" w:eastAsia="仿宋_GB2312"/>
          <w:szCs w:val="32"/>
        </w:rPr>
      </w:pPr>
      <w:r>
        <w:rPr>
          <w:rFonts w:ascii="Times New Roman" w:hAnsi="Times New Roman" w:eastAsia="仿宋_GB2312"/>
          <w:szCs w:val="32"/>
        </w:rPr>
        <w:t>截至2025年12月31日，攀枝花市森林病虫防治检疫站共有车辆2辆，其中：主要领导干部用车0辆、机要通信用车辆、应急保障用车0辆、其他用车2辆，其他用车主要是用于行政执法特种用途。单价100万元以上专用设备（不含车辆）0台（套）。</w:t>
      </w:r>
    </w:p>
    <w:p w14:paraId="0F47A0A9">
      <w:pPr>
        <w:spacing w:line="600" w:lineRule="exact"/>
        <w:ind w:firstLine="643"/>
        <w:jc w:val="left"/>
        <w:outlineLvl w:val="2"/>
        <w:rPr>
          <w:rFonts w:eastAsia="楷体_GB2312" w:cs="楷体_GB2312"/>
          <w:b/>
          <w:szCs w:val="32"/>
        </w:rPr>
      </w:pPr>
      <w:r>
        <w:rPr>
          <w:rFonts w:eastAsia="楷体_GB2312" w:cs="楷体_GB2312"/>
          <w:b/>
          <w:szCs w:val="32"/>
        </w:rPr>
        <w:t>（四）预算绩效管理情况</w:t>
      </w:r>
    </w:p>
    <w:p w14:paraId="49EB2A18">
      <w:pPr>
        <w:spacing w:line="600" w:lineRule="exact"/>
        <w:ind w:firstLine="640"/>
        <w:rPr>
          <w:rFonts w:ascii="Times New Roman" w:hAnsi="Times New Roman" w:eastAsia="仿宋_GB2312"/>
          <w:szCs w:val="32"/>
        </w:rPr>
      </w:pPr>
      <w:r>
        <w:rPr>
          <w:rFonts w:ascii="Times New Roman" w:hAnsi="Times New Roman" w:eastAsia="仿宋_GB2312"/>
          <w:szCs w:val="32"/>
        </w:rPr>
        <w:t>根据预算绩效管理要求，本单位在2025年度预算编制阶段，组织对</w:t>
      </w:r>
      <w:r>
        <w:rPr>
          <w:rFonts w:hint="eastAsia" w:ascii="Times New Roman" w:hAnsi="Times New Roman" w:eastAsia="仿宋_GB2312"/>
          <w:szCs w:val="32"/>
        </w:rPr>
        <w:t>2025年松材线虫病等重大林业有害生物监测、防治、检疫、</w:t>
      </w:r>
      <w:r>
        <w:rPr>
          <w:rFonts w:ascii="Times New Roman" w:hAnsi="Times New Roman" w:eastAsia="方正仿宋_GBK"/>
          <w:szCs w:val="32"/>
        </w:rPr>
        <w:t>四川省攀枝花市林业有害生物防治综合能力提升项目</w:t>
      </w:r>
      <w:r>
        <w:rPr>
          <w:rFonts w:ascii="Times New Roman" w:hAnsi="Times New Roman" w:eastAsia="仿宋_GB2312"/>
          <w:szCs w:val="32"/>
        </w:rPr>
        <w:t>等2个项目开展了预算事前绩效评估，对2个项目编制了绩效目标</w:t>
      </w:r>
      <w:r>
        <w:rPr>
          <w:rFonts w:hint="eastAsia" w:ascii="Times New Roman" w:hAnsi="Times New Roman" w:eastAsia="仿宋_GB2312"/>
          <w:szCs w:val="32"/>
          <w:lang w:eastAsia="zh-CN"/>
        </w:rPr>
        <w:t>，在</w:t>
      </w:r>
      <w:r>
        <w:rPr>
          <w:rFonts w:ascii="Times New Roman" w:hAnsi="Times New Roman" w:eastAsia="仿宋_GB2312"/>
          <w:szCs w:val="32"/>
        </w:rPr>
        <w:t>预算执行过程中，开展绩效监控，开展绩效自评，绩效自评表详见第四部分附件。</w:t>
      </w:r>
    </w:p>
    <w:p w14:paraId="5DBAA51F">
      <w:pPr>
        <w:spacing w:line="600" w:lineRule="exact"/>
        <w:ind w:firstLine="640"/>
        <w:rPr>
          <w:rFonts w:ascii="Times New Roman" w:hAnsi="Times New Roman" w:eastAsia="仿宋_GB2312"/>
          <w:szCs w:val="32"/>
        </w:rPr>
      </w:pPr>
      <w:r>
        <w:rPr>
          <w:rFonts w:ascii="Times New Roman" w:hAnsi="Times New Roman" w:eastAsia="仿宋_GB2312"/>
          <w:szCs w:val="32"/>
        </w:rPr>
        <w:br w:type="page"/>
      </w:r>
    </w:p>
    <w:p w14:paraId="5C5D7E43">
      <w:pPr>
        <w:spacing w:line="600" w:lineRule="exact"/>
        <w:ind w:firstLine="880"/>
        <w:jc w:val="center"/>
        <w:outlineLvl w:val="0"/>
        <w:rPr>
          <w:rStyle w:val="27"/>
          <w:rFonts w:ascii="Times New Roman" w:hAnsi="Times New Roman" w:eastAsia="黑体"/>
          <w:b w:val="0"/>
        </w:rPr>
      </w:pPr>
      <w:bookmarkStart w:id="22" w:name="_Toc207996187"/>
      <w:r>
        <w:rPr>
          <w:rFonts w:ascii="Times New Roman" w:hAnsi="Times New Roman" w:eastAsia="黑体"/>
          <w:sz w:val="44"/>
          <w:szCs w:val="44"/>
        </w:rPr>
        <w:t>第三部分 名</w:t>
      </w:r>
      <w:r>
        <w:rPr>
          <w:rStyle w:val="27"/>
          <w:rFonts w:ascii="Times New Roman" w:hAnsi="Times New Roman" w:eastAsia="黑体"/>
          <w:b w:val="0"/>
        </w:rPr>
        <w:t>词解释</w:t>
      </w:r>
      <w:bookmarkEnd w:id="22"/>
    </w:p>
    <w:p w14:paraId="09C1AEAE">
      <w:pPr>
        <w:spacing w:line="600" w:lineRule="exact"/>
        <w:ind w:firstLine="883"/>
        <w:jc w:val="left"/>
        <w:rPr>
          <w:rFonts w:ascii="Times New Roman" w:hAnsi="Times New Roman"/>
          <w:b/>
          <w:sz w:val="44"/>
          <w:szCs w:val="44"/>
        </w:rPr>
      </w:pPr>
    </w:p>
    <w:p w14:paraId="6656F09F">
      <w:pPr>
        <w:pStyle w:val="35"/>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1.财政拨款收入：指单位从同级财政部门取得的财政预算资金。</w:t>
      </w:r>
    </w:p>
    <w:p w14:paraId="3059F26F">
      <w:pPr>
        <w:pStyle w:val="35"/>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2.年初结转和结余：指以前年度尚未完成、结转到本年按有关规定继续使用的资金。 </w:t>
      </w:r>
    </w:p>
    <w:p w14:paraId="05B64AAB">
      <w:pPr>
        <w:spacing w:line="600" w:lineRule="exact"/>
        <w:ind w:firstLine="640"/>
        <w:rPr>
          <w:rFonts w:ascii="Times New Roman" w:hAnsi="Times New Roman" w:eastAsia="仿宋_GB2312"/>
          <w:b/>
          <w:szCs w:val="32"/>
        </w:rPr>
      </w:pPr>
      <w:r>
        <w:rPr>
          <w:rStyle w:val="25"/>
          <w:rFonts w:ascii="Times New Roman" w:hAnsi="Times New Roman" w:eastAsia="仿宋_GB2312"/>
          <w:b w:val="0"/>
          <w:bCs/>
          <w:szCs w:val="32"/>
        </w:rPr>
        <w:t>3.一般公共服务（类）组织事务（款）其他组织事务支出（项）</w:t>
      </w:r>
      <w:r>
        <w:rPr>
          <w:rStyle w:val="25"/>
          <w:rFonts w:hint="eastAsia" w:ascii="Times New Roman" w:hAnsi="Times New Roman" w:eastAsia="仿宋_GB2312"/>
          <w:b w:val="0"/>
          <w:bCs/>
          <w:szCs w:val="32"/>
        </w:rPr>
        <w:t>：</w:t>
      </w:r>
      <w:r>
        <w:rPr>
          <w:rStyle w:val="25"/>
          <w:rFonts w:ascii="Times New Roman" w:hAnsi="Times New Roman" w:eastAsia="仿宋_GB2312"/>
          <w:b w:val="0"/>
          <w:bCs/>
          <w:szCs w:val="32"/>
        </w:rPr>
        <w:t>指特定人员下派锻炼补贴。</w:t>
      </w:r>
    </w:p>
    <w:p w14:paraId="3D5B3A65">
      <w:pPr>
        <w:ind w:firstLine="640"/>
        <w:rPr>
          <w:rFonts w:ascii="Times New Roman" w:hAnsi="Times New Roman" w:eastAsia="仿宋_GB2312"/>
          <w:szCs w:val="32"/>
        </w:rPr>
      </w:pPr>
      <w:r>
        <w:rPr>
          <w:rFonts w:ascii="Times New Roman" w:hAnsi="Times New Roman" w:eastAsia="仿宋_GB2312"/>
          <w:szCs w:val="32"/>
        </w:rPr>
        <w:t>4.社会保障和就业（类）行政事业单位养老支出（款）  行政单位离退休（项）：指行政人员退休费用。</w:t>
      </w:r>
    </w:p>
    <w:p w14:paraId="6FDBF7F9">
      <w:pPr>
        <w:ind w:firstLine="640"/>
        <w:rPr>
          <w:rFonts w:ascii="Times New Roman" w:hAnsi="Times New Roman" w:eastAsia="仿宋_GB2312"/>
          <w:szCs w:val="32"/>
        </w:rPr>
      </w:pPr>
      <w:r>
        <w:rPr>
          <w:rFonts w:ascii="Times New Roman" w:hAnsi="Times New Roman" w:eastAsia="仿宋_GB2312"/>
          <w:szCs w:val="32"/>
        </w:rPr>
        <w:t>5.社会保障和就业（类）行政事业单位养老支出（款）      机关事业单位基本养老保险缴费支出（项）：指机关人员养老保险费用。</w:t>
      </w:r>
    </w:p>
    <w:p w14:paraId="64C51001">
      <w:pPr>
        <w:ind w:firstLine="640"/>
        <w:rPr>
          <w:rFonts w:ascii="Times New Roman" w:hAnsi="Times New Roman" w:eastAsia="仿宋_GB2312"/>
          <w:szCs w:val="32"/>
        </w:rPr>
      </w:pPr>
      <w:r>
        <w:rPr>
          <w:rFonts w:ascii="Times New Roman" w:hAnsi="Times New Roman" w:eastAsia="仿宋_GB2312"/>
          <w:szCs w:val="32"/>
        </w:rPr>
        <w:t>6.农林水（类）林业和草原（款）行政运行（项）：指机关日常运行费用。</w:t>
      </w:r>
    </w:p>
    <w:p w14:paraId="7703DCA3">
      <w:pPr>
        <w:ind w:firstLine="640"/>
        <w:rPr>
          <w:rFonts w:ascii="Times New Roman" w:hAnsi="Times New Roman" w:eastAsia="仿宋_GB2312"/>
          <w:szCs w:val="32"/>
        </w:rPr>
      </w:pPr>
      <w:r>
        <w:rPr>
          <w:rFonts w:ascii="Times New Roman" w:hAnsi="Times New Roman" w:eastAsia="仿宋_GB2312"/>
          <w:szCs w:val="32"/>
        </w:rPr>
        <w:t>7.农林水（类）林业和草原（款）林业草原防灾减灾（项）：指项目支出费用。</w:t>
      </w:r>
    </w:p>
    <w:p w14:paraId="6A345718">
      <w:pPr>
        <w:pStyle w:val="2"/>
        <w:ind w:firstLine="640"/>
        <w:rPr>
          <w:rFonts w:ascii="Times New Roman" w:hAnsi="Times New Roman" w:eastAsia="仿宋_GB2312"/>
          <w:b/>
        </w:rPr>
      </w:pPr>
      <w:r>
        <w:rPr>
          <w:rStyle w:val="25"/>
          <w:rFonts w:ascii="Times New Roman" w:hAnsi="Times New Roman" w:eastAsia="仿宋_GB2312"/>
          <w:b w:val="0"/>
          <w:bCs/>
          <w:sz w:val="32"/>
          <w:szCs w:val="32"/>
        </w:rPr>
        <w:t>8.</w:t>
      </w:r>
      <w:r>
        <w:rPr>
          <w:rFonts w:ascii="Times New Roman" w:hAnsi="Times New Roman" w:eastAsia="仿宋_GB2312"/>
          <w:b/>
        </w:rPr>
        <w:t xml:space="preserve"> </w:t>
      </w:r>
      <w:r>
        <w:rPr>
          <w:rFonts w:ascii="Times New Roman" w:hAnsi="Times New Roman" w:eastAsia="仿宋_GB2312"/>
          <w:bCs/>
          <w:sz w:val="32"/>
          <w:szCs w:val="32"/>
        </w:rPr>
        <w:t>农林水</w:t>
      </w:r>
      <w:r>
        <w:rPr>
          <w:rStyle w:val="25"/>
          <w:rFonts w:ascii="Times New Roman" w:hAnsi="Times New Roman" w:eastAsia="仿宋_GB2312"/>
          <w:b w:val="0"/>
          <w:bCs/>
          <w:sz w:val="32"/>
          <w:szCs w:val="32"/>
        </w:rPr>
        <w:t>（类）林业和草原（款）其他林业和草原支出（项）</w:t>
      </w:r>
      <w:r>
        <w:rPr>
          <w:rStyle w:val="25"/>
          <w:rFonts w:hint="eastAsia" w:ascii="Times New Roman" w:hAnsi="Times New Roman" w:eastAsia="仿宋_GB2312"/>
          <w:b w:val="0"/>
          <w:bCs/>
          <w:sz w:val="32"/>
          <w:szCs w:val="32"/>
        </w:rPr>
        <w:t>：</w:t>
      </w:r>
      <w:r>
        <w:rPr>
          <w:rStyle w:val="25"/>
          <w:rFonts w:ascii="Times New Roman" w:hAnsi="Times New Roman" w:eastAsia="仿宋_GB2312"/>
          <w:b w:val="0"/>
          <w:bCs/>
          <w:sz w:val="32"/>
          <w:szCs w:val="32"/>
        </w:rPr>
        <w:t>单位日常运转物业管理费。</w:t>
      </w:r>
    </w:p>
    <w:p w14:paraId="74FE138D">
      <w:pPr>
        <w:ind w:firstLine="640"/>
        <w:rPr>
          <w:rFonts w:ascii="Times New Roman" w:hAnsi="Times New Roman" w:eastAsia="仿宋_GB2312"/>
          <w:szCs w:val="32"/>
        </w:rPr>
      </w:pPr>
      <w:r>
        <w:rPr>
          <w:rFonts w:ascii="Times New Roman" w:hAnsi="Times New Roman" w:eastAsia="仿宋_GB2312"/>
          <w:szCs w:val="32"/>
        </w:rPr>
        <w:t>9.住房保障支出（类）住房改革支出（款）住房公积金（项）：指单位人员住房公积金费用。</w:t>
      </w:r>
    </w:p>
    <w:p w14:paraId="5240EE46">
      <w:pPr>
        <w:ind w:firstLine="640"/>
        <w:rPr>
          <w:rFonts w:ascii="Times New Roman" w:hAnsi="Times New Roman" w:eastAsia="仿宋_GB2312"/>
          <w:szCs w:val="32"/>
        </w:rPr>
      </w:pPr>
      <w:r>
        <w:rPr>
          <w:rFonts w:ascii="Times New Roman" w:hAnsi="Times New Roman" w:eastAsia="仿宋_GB2312"/>
          <w:szCs w:val="32"/>
        </w:rPr>
        <w:t>10.基本支出：指为保障机构正常运转、完成日常工作任务而发生的人员支出和公用支出。</w:t>
      </w:r>
    </w:p>
    <w:p w14:paraId="2001DC8E">
      <w:pPr>
        <w:ind w:firstLine="640"/>
        <w:rPr>
          <w:rFonts w:ascii="Times New Roman" w:hAnsi="Times New Roman" w:eastAsia="仿宋_GB2312"/>
          <w:szCs w:val="32"/>
        </w:rPr>
      </w:pPr>
      <w:r>
        <w:rPr>
          <w:rFonts w:ascii="Times New Roman" w:hAnsi="Times New Roman" w:eastAsia="仿宋_GB2312"/>
          <w:szCs w:val="32"/>
        </w:rPr>
        <w:t xml:space="preserve">11.项目支出：指在基本支出之外为完成特定行政任务和事业发展目标所发生的支出。 </w:t>
      </w:r>
    </w:p>
    <w:p w14:paraId="0277075C">
      <w:pPr>
        <w:pStyle w:val="35"/>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12.“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B620ABF">
      <w:pPr>
        <w:pStyle w:val="35"/>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AF5D50">
      <w:pPr>
        <w:pStyle w:val="5"/>
        <w:ind w:firstLine="883"/>
        <w:jc w:val="center"/>
      </w:pPr>
      <w:r>
        <w:br w:type="page"/>
      </w:r>
      <w:bookmarkStart w:id="23" w:name="_Toc207996188"/>
      <w:r>
        <w:t>第四部分 附件</w:t>
      </w:r>
      <w:bookmarkEnd w:id="23"/>
    </w:p>
    <w:p w14:paraId="36A0FFAB">
      <w:pPr>
        <w:ind w:firstLine="640"/>
        <w:rPr>
          <w:rFonts w:ascii="Times New Roman" w:hAnsi="Times New Roman" w:eastAsia="仿宋_GB2312"/>
        </w:rPr>
      </w:pPr>
      <w:r>
        <w:rPr>
          <w:rFonts w:ascii="Times New Roman" w:hAnsi="Times New Roman" w:eastAsia="仿宋_GB2312"/>
        </w:rPr>
        <w:t>部门预算项目支出绩效自评表（2025年度）详见附件</w:t>
      </w:r>
      <w:r>
        <w:rPr>
          <w:rFonts w:hint="eastAsia" w:ascii="Times New Roman" w:hAnsi="Times New Roman" w:eastAsia="仿宋_GB2312"/>
          <w:lang w:val="en-US" w:eastAsia="zh-CN"/>
        </w:rPr>
        <w:t>3</w:t>
      </w:r>
      <w:r>
        <w:rPr>
          <w:rFonts w:ascii="Times New Roman" w:hAnsi="Times New Roman" w:eastAsia="仿宋_GB2312"/>
        </w:rPr>
        <w:t>。</w:t>
      </w:r>
    </w:p>
    <w:p w14:paraId="2FDE1A44">
      <w:pPr>
        <w:pStyle w:val="9"/>
        <w:ind w:firstLine="640"/>
        <w:rPr>
          <w:rFonts w:ascii="Times New Roman" w:hAnsi="Times New Roman" w:eastAsia="仿宋_GB2312"/>
          <w:kern w:val="0"/>
          <w:szCs w:val="32"/>
        </w:rPr>
      </w:pPr>
    </w:p>
    <w:p w14:paraId="76A2635D">
      <w:pPr>
        <w:pStyle w:val="9"/>
        <w:ind w:firstLine="640"/>
        <w:rPr>
          <w:rFonts w:ascii="Times New Roman" w:hAnsi="Times New Roman" w:eastAsia="仿宋_GB2312"/>
          <w:kern w:val="0"/>
          <w:szCs w:val="32"/>
        </w:rPr>
      </w:pPr>
    </w:p>
    <w:p w14:paraId="4ECADD9F">
      <w:pPr>
        <w:pStyle w:val="9"/>
        <w:ind w:firstLine="640"/>
        <w:rPr>
          <w:rFonts w:ascii="Times New Roman" w:hAnsi="Times New Roman" w:eastAsia="仿宋_GB2312"/>
          <w:kern w:val="0"/>
          <w:szCs w:val="32"/>
        </w:rPr>
      </w:pPr>
    </w:p>
    <w:p w14:paraId="57A4F9E5">
      <w:pPr>
        <w:pStyle w:val="9"/>
        <w:ind w:firstLine="640"/>
        <w:rPr>
          <w:rFonts w:ascii="Times New Roman" w:hAnsi="Times New Roman" w:eastAsia="仿宋_GB2312"/>
          <w:kern w:val="0"/>
          <w:szCs w:val="32"/>
        </w:rPr>
      </w:pPr>
    </w:p>
    <w:p w14:paraId="6F13BDED">
      <w:pPr>
        <w:pStyle w:val="9"/>
        <w:ind w:firstLine="640"/>
        <w:rPr>
          <w:rFonts w:ascii="Times New Roman" w:hAnsi="Times New Roman" w:eastAsia="仿宋_GB2312"/>
          <w:kern w:val="0"/>
          <w:szCs w:val="32"/>
        </w:rPr>
      </w:pPr>
    </w:p>
    <w:p w14:paraId="636A10FA">
      <w:pPr>
        <w:pStyle w:val="9"/>
        <w:ind w:firstLine="640"/>
        <w:rPr>
          <w:rFonts w:ascii="Times New Roman" w:hAnsi="Times New Roman" w:eastAsia="仿宋_GB2312"/>
          <w:kern w:val="0"/>
          <w:szCs w:val="32"/>
        </w:rPr>
      </w:pPr>
    </w:p>
    <w:p w14:paraId="771A259A">
      <w:pPr>
        <w:pStyle w:val="9"/>
        <w:ind w:firstLine="640"/>
        <w:rPr>
          <w:rFonts w:ascii="Times New Roman" w:hAnsi="Times New Roman" w:eastAsia="仿宋_GB2312"/>
          <w:kern w:val="0"/>
          <w:szCs w:val="32"/>
        </w:rPr>
      </w:pPr>
    </w:p>
    <w:p w14:paraId="41217C88">
      <w:pPr>
        <w:pStyle w:val="9"/>
        <w:ind w:firstLine="640"/>
        <w:rPr>
          <w:rFonts w:ascii="Times New Roman" w:hAnsi="Times New Roman" w:eastAsia="仿宋_GB2312"/>
          <w:kern w:val="0"/>
          <w:szCs w:val="32"/>
        </w:rPr>
      </w:pPr>
    </w:p>
    <w:p w14:paraId="3CB34359">
      <w:pPr>
        <w:pStyle w:val="9"/>
        <w:ind w:firstLine="640"/>
        <w:rPr>
          <w:rFonts w:ascii="Times New Roman" w:hAnsi="Times New Roman" w:eastAsia="仿宋_GB2312"/>
          <w:kern w:val="0"/>
          <w:szCs w:val="32"/>
        </w:rPr>
      </w:pPr>
    </w:p>
    <w:p w14:paraId="442B9449">
      <w:pPr>
        <w:pStyle w:val="9"/>
        <w:ind w:firstLine="640"/>
        <w:rPr>
          <w:rFonts w:ascii="Times New Roman" w:hAnsi="Times New Roman" w:eastAsia="仿宋_GB2312"/>
          <w:kern w:val="0"/>
          <w:szCs w:val="32"/>
        </w:rPr>
      </w:pPr>
    </w:p>
    <w:p w14:paraId="56E47E06">
      <w:pPr>
        <w:pStyle w:val="9"/>
        <w:ind w:firstLine="640"/>
        <w:rPr>
          <w:rFonts w:ascii="Times New Roman" w:hAnsi="Times New Roman" w:eastAsia="仿宋_GB2312"/>
          <w:kern w:val="0"/>
          <w:szCs w:val="32"/>
        </w:rPr>
      </w:pPr>
    </w:p>
    <w:p w14:paraId="16C38D4A">
      <w:pPr>
        <w:pStyle w:val="9"/>
        <w:ind w:firstLine="640"/>
        <w:rPr>
          <w:rFonts w:ascii="Times New Roman" w:hAnsi="Times New Roman" w:eastAsia="仿宋_GB2312"/>
          <w:kern w:val="0"/>
          <w:szCs w:val="32"/>
        </w:rPr>
      </w:pPr>
    </w:p>
    <w:p w14:paraId="671012F1">
      <w:pPr>
        <w:ind w:firstLine="880"/>
        <w:rPr>
          <w:rFonts w:ascii="Times New Roman" w:hAnsi="Times New Roman" w:eastAsia="黑体"/>
          <w:sz w:val="44"/>
          <w:szCs w:val="44"/>
        </w:rPr>
      </w:pPr>
      <w:r>
        <w:rPr>
          <w:rFonts w:ascii="Times New Roman" w:hAnsi="Times New Roman" w:eastAsia="黑体"/>
          <w:sz w:val="44"/>
          <w:szCs w:val="44"/>
        </w:rPr>
        <w:br w:type="page"/>
      </w:r>
    </w:p>
    <w:p w14:paraId="6EB39731">
      <w:pPr>
        <w:spacing w:line="600" w:lineRule="exact"/>
        <w:ind w:firstLine="880"/>
        <w:jc w:val="center"/>
        <w:outlineLvl w:val="0"/>
        <w:rPr>
          <w:rFonts w:ascii="Times New Roman" w:hAnsi="Times New Roman"/>
        </w:rPr>
      </w:pPr>
      <w:bookmarkStart w:id="24" w:name="_Toc207996189"/>
      <w:r>
        <w:rPr>
          <w:rFonts w:ascii="Times New Roman" w:hAnsi="Times New Roman" w:eastAsia="黑体"/>
          <w:sz w:val="44"/>
          <w:szCs w:val="44"/>
        </w:rPr>
        <w:t>第</w:t>
      </w:r>
      <w:r>
        <w:rPr>
          <w:rStyle w:val="27"/>
          <w:rFonts w:ascii="Times New Roman" w:hAnsi="Times New Roman" w:eastAsia="黑体"/>
          <w:b w:val="0"/>
        </w:rPr>
        <w:t>五部分 附表</w:t>
      </w:r>
      <w:bookmarkEnd w:id="24"/>
    </w:p>
    <w:p w14:paraId="7ABC255D">
      <w:pPr>
        <w:pStyle w:val="6"/>
        <w:ind w:firstLine="640"/>
        <w:rPr>
          <w:rFonts w:ascii="仿宋_GB2312" w:hAnsi="Times New Roman" w:eastAsia="仿宋_GB2312"/>
        </w:rPr>
      </w:pPr>
      <w:bookmarkStart w:id="25" w:name="_Toc207996190"/>
      <w:r>
        <w:rPr>
          <w:rFonts w:hint="eastAsia" w:ascii="仿宋_GB2312" w:hAnsi="Times New Roman" w:eastAsia="仿宋_GB2312"/>
          <w:b w:val="0"/>
        </w:rPr>
        <w:t>一、收</w:t>
      </w:r>
      <w:r>
        <w:rPr>
          <w:rStyle w:val="28"/>
          <w:rFonts w:hint="eastAsia" w:ascii="仿宋_GB2312" w:hAnsi="Times New Roman" w:eastAsia="仿宋_GB2312"/>
          <w:b w:val="0"/>
          <w:bCs w:val="0"/>
        </w:rPr>
        <w:t>入支出决算总表</w:t>
      </w:r>
      <w:bookmarkEnd w:id="25"/>
    </w:p>
    <w:p w14:paraId="1EF256A6">
      <w:pPr>
        <w:pStyle w:val="6"/>
        <w:ind w:firstLine="640"/>
        <w:rPr>
          <w:rFonts w:ascii="仿宋_GB2312" w:hAnsi="Times New Roman" w:eastAsia="仿宋_GB2312"/>
        </w:rPr>
      </w:pPr>
      <w:bookmarkStart w:id="26" w:name="_Toc207996191"/>
      <w:r>
        <w:rPr>
          <w:rFonts w:hint="eastAsia" w:ascii="仿宋_GB2312" w:hAnsi="Times New Roman" w:eastAsia="仿宋_GB2312"/>
          <w:b w:val="0"/>
        </w:rPr>
        <w:t>二、收</w:t>
      </w:r>
      <w:r>
        <w:rPr>
          <w:rStyle w:val="28"/>
          <w:rFonts w:hint="eastAsia" w:ascii="仿宋_GB2312" w:hAnsi="Times New Roman" w:eastAsia="仿宋_GB2312"/>
          <w:b w:val="0"/>
          <w:bCs w:val="0"/>
        </w:rPr>
        <w:t>入决算表</w:t>
      </w:r>
      <w:bookmarkEnd w:id="26"/>
    </w:p>
    <w:p w14:paraId="51F2ED81">
      <w:pPr>
        <w:pStyle w:val="6"/>
        <w:ind w:firstLine="640"/>
        <w:rPr>
          <w:rFonts w:ascii="仿宋_GB2312" w:hAnsi="Times New Roman" w:eastAsia="仿宋_GB2312"/>
        </w:rPr>
      </w:pPr>
      <w:bookmarkStart w:id="27" w:name="_Toc207996192"/>
      <w:r>
        <w:rPr>
          <w:rStyle w:val="28"/>
          <w:rFonts w:hint="eastAsia" w:ascii="仿宋_GB2312" w:hAnsi="Times New Roman" w:eastAsia="仿宋_GB2312"/>
          <w:b w:val="0"/>
          <w:bCs w:val="0"/>
        </w:rPr>
        <w:t>三、</w:t>
      </w:r>
      <w:r>
        <w:rPr>
          <w:rFonts w:hint="eastAsia" w:ascii="仿宋_GB2312" w:hAnsi="Times New Roman" w:eastAsia="仿宋_GB2312"/>
          <w:b w:val="0"/>
        </w:rPr>
        <w:t>支</w:t>
      </w:r>
      <w:r>
        <w:rPr>
          <w:rStyle w:val="28"/>
          <w:rFonts w:hint="eastAsia" w:ascii="仿宋_GB2312" w:hAnsi="Times New Roman" w:eastAsia="仿宋_GB2312"/>
          <w:b w:val="0"/>
          <w:bCs w:val="0"/>
        </w:rPr>
        <w:t>出决算表</w:t>
      </w:r>
      <w:bookmarkEnd w:id="27"/>
    </w:p>
    <w:p w14:paraId="6F8E477A">
      <w:pPr>
        <w:pStyle w:val="6"/>
        <w:ind w:firstLine="640"/>
        <w:rPr>
          <w:rFonts w:ascii="仿宋_GB2312" w:hAnsi="Times New Roman" w:eastAsia="仿宋_GB2312"/>
          <w:b w:val="0"/>
        </w:rPr>
      </w:pPr>
      <w:bookmarkStart w:id="28" w:name="_Toc207996193"/>
      <w:r>
        <w:rPr>
          <w:rStyle w:val="28"/>
          <w:rFonts w:hint="eastAsia" w:ascii="仿宋_GB2312" w:hAnsi="Times New Roman" w:eastAsia="仿宋_GB2312"/>
          <w:b w:val="0"/>
          <w:bCs w:val="0"/>
        </w:rPr>
        <w:t>四、</w:t>
      </w:r>
      <w:r>
        <w:rPr>
          <w:rFonts w:hint="eastAsia" w:ascii="仿宋_GB2312" w:hAnsi="Times New Roman" w:eastAsia="仿宋_GB2312"/>
          <w:b w:val="0"/>
        </w:rPr>
        <w:t>财</w:t>
      </w:r>
      <w:r>
        <w:rPr>
          <w:rStyle w:val="28"/>
          <w:rFonts w:hint="eastAsia" w:ascii="仿宋_GB2312" w:hAnsi="Times New Roman" w:eastAsia="仿宋_GB2312"/>
          <w:b w:val="0"/>
          <w:bCs w:val="0"/>
        </w:rPr>
        <w:t>政拨款收入支出决算总表</w:t>
      </w:r>
      <w:bookmarkEnd w:id="28"/>
    </w:p>
    <w:p w14:paraId="4058F673">
      <w:pPr>
        <w:pStyle w:val="6"/>
        <w:ind w:firstLine="640"/>
        <w:rPr>
          <w:rStyle w:val="28"/>
          <w:rFonts w:ascii="仿宋_GB2312" w:hAnsi="Times New Roman" w:eastAsia="仿宋_GB2312"/>
          <w:b w:val="0"/>
          <w:bCs w:val="0"/>
        </w:rPr>
      </w:pPr>
      <w:bookmarkStart w:id="29" w:name="_Toc207996194"/>
      <w:r>
        <w:rPr>
          <w:rStyle w:val="28"/>
          <w:rFonts w:hint="eastAsia" w:ascii="仿宋_GB2312" w:hAnsi="Times New Roman" w:eastAsia="仿宋_GB2312"/>
          <w:b w:val="0"/>
          <w:bCs w:val="0"/>
        </w:rPr>
        <w:t>五、</w:t>
      </w:r>
      <w:r>
        <w:rPr>
          <w:rFonts w:hint="eastAsia" w:ascii="仿宋_GB2312" w:hAnsi="Times New Roman" w:eastAsia="仿宋_GB2312"/>
          <w:b w:val="0"/>
        </w:rPr>
        <w:t>财</w:t>
      </w:r>
      <w:r>
        <w:rPr>
          <w:rStyle w:val="28"/>
          <w:rFonts w:hint="eastAsia" w:ascii="仿宋_GB2312" w:hAnsi="Times New Roman" w:eastAsia="仿宋_GB2312"/>
          <w:b w:val="0"/>
          <w:bCs w:val="0"/>
        </w:rPr>
        <w:t>政拨款支出决算明细表</w:t>
      </w:r>
      <w:bookmarkEnd w:id="29"/>
    </w:p>
    <w:p w14:paraId="2FF37F9B">
      <w:pPr>
        <w:pStyle w:val="6"/>
        <w:ind w:firstLine="640"/>
        <w:rPr>
          <w:rFonts w:ascii="仿宋_GB2312" w:hAnsi="Times New Roman" w:eastAsia="仿宋_GB2312"/>
        </w:rPr>
      </w:pPr>
      <w:bookmarkStart w:id="30" w:name="_Toc207996195"/>
      <w:r>
        <w:rPr>
          <w:rStyle w:val="28"/>
          <w:rFonts w:hint="eastAsia" w:ascii="仿宋_GB2312" w:hAnsi="Times New Roman" w:eastAsia="仿宋_GB2312"/>
          <w:b w:val="0"/>
          <w:bCs w:val="0"/>
        </w:rPr>
        <w:t>六、</w:t>
      </w:r>
      <w:r>
        <w:rPr>
          <w:rFonts w:hint="eastAsia" w:ascii="仿宋_GB2312" w:hAnsi="Times New Roman" w:eastAsia="仿宋_GB2312"/>
          <w:b w:val="0"/>
        </w:rPr>
        <w:t>一</w:t>
      </w:r>
      <w:r>
        <w:rPr>
          <w:rStyle w:val="28"/>
          <w:rFonts w:hint="eastAsia" w:ascii="仿宋_GB2312" w:hAnsi="Times New Roman" w:eastAsia="仿宋_GB2312"/>
          <w:b w:val="0"/>
          <w:bCs w:val="0"/>
        </w:rPr>
        <w:t>般公共预算财政拨款支出决算表</w:t>
      </w:r>
      <w:bookmarkEnd w:id="30"/>
    </w:p>
    <w:p w14:paraId="2B733161">
      <w:pPr>
        <w:pStyle w:val="6"/>
        <w:ind w:firstLine="640"/>
        <w:rPr>
          <w:rFonts w:ascii="仿宋_GB2312" w:hAnsi="Times New Roman" w:eastAsia="仿宋_GB2312"/>
        </w:rPr>
      </w:pPr>
      <w:bookmarkStart w:id="31" w:name="_Toc207996196"/>
      <w:r>
        <w:rPr>
          <w:rStyle w:val="28"/>
          <w:rFonts w:hint="eastAsia" w:ascii="仿宋_GB2312" w:hAnsi="Times New Roman" w:eastAsia="仿宋_GB2312"/>
          <w:b w:val="0"/>
          <w:bCs w:val="0"/>
        </w:rPr>
        <w:t>七、</w:t>
      </w:r>
      <w:r>
        <w:rPr>
          <w:rFonts w:hint="eastAsia" w:ascii="仿宋_GB2312" w:hAnsi="Times New Roman" w:eastAsia="仿宋_GB2312"/>
          <w:b w:val="0"/>
        </w:rPr>
        <w:t>一</w:t>
      </w:r>
      <w:r>
        <w:rPr>
          <w:rStyle w:val="28"/>
          <w:rFonts w:hint="eastAsia" w:ascii="仿宋_GB2312" w:hAnsi="Times New Roman" w:eastAsia="仿宋_GB2312"/>
          <w:b w:val="0"/>
          <w:bCs w:val="0"/>
        </w:rPr>
        <w:t>般公共预算财政拨款支出决算明细表</w:t>
      </w:r>
      <w:bookmarkEnd w:id="31"/>
    </w:p>
    <w:p w14:paraId="7D3A286E">
      <w:pPr>
        <w:pStyle w:val="6"/>
        <w:ind w:firstLine="640"/>
        <w:rPr>
          <w:rFonts w:ascii="仿宋_GB2312" w:hAnsi="Times New Roman" w:eastAsia="仿宋_GB2312"/>
        </w:rPr>
      </w:pPr>
      <w:bookmarkStart w:id="32" w:name="_Toc207996197"/>
      <w:r>
        <w:rPr>
          <w:rStyle w:val="28"/>
          <w:rFonts w:hint="eastAsia" w:ascii="仿宋_GB2312" w:hAnsi="Times New Roman" w:eastAsia="仿宋_GB2312"/>
          <w:b w:val="0"/>
          <w:bCs w:val="0"/>
        </w:rPr>
        <w:t>八、</w:t>
      </w:r>
      <w:r>
        <w:rPr>
          <w:rFonts w:hint="eastAsia" w:ascii="仿宋_GB2312" w:hAnsi="Times New Roman" w:eastAsia="仿宋_GB2312"/>
          <w:b w:val="0"/>
        </w:rPr>
        <w:t>一</w:t>
      </w:r>
      <w:r>
        <w:rPr>
          <w:rStyle w:val="28"/>
          <w:rFonts w:hint="eastAsia" w:ascii="仿宋_GB2312" w:hAnsi="Times New Roman" w:eastAsia="仿宋_GB2312"/>
          <w:b w:val="0"/>
          <w:bCs w:val="0"/>
        </w:rPr>
        <w:t>般公共预算财政拨款基本支出决算表</w:t>
      </w:r>
      <w:bookmarkEnd w:id="32"/>
    </w:p>
    <w:p w14:paraId="3B2E0E21">
      <w:pPr>
        <w:pStyle w:val="6"/>
        <w:ind w:firstLine="640"/>
        <w:rPr>
          <w:rFonts w:ascii="仿宋_GB2312" w:hAnsi="Times New Roman" w:eastAsia="仿宋_GB2312"/>
        </w:rPr>
      </w:pPr>
      <w:bookmarkStart w:id="33" w:name="_Toc207996198"/>
      <w:r>
        <w:rPr>
          <w:rStyle w:val="28"/>
          <w:rFonts w:hint="eastAsia" w:ascii="仿宋_GB2312" w:hAnsi="Times New Roman" w:eastAsia="仿宋_GB2312"/>
          <w:b w:val="0"/>
          <w:bCs w:val="0"/>
        </w:rPr>
        <w:t>九、</w:t>
      </w:r>
      <w:r>
        <w:rPr>
          <w:rFonts w:hint="eastAsia" w:ascii="仿宋_GB2312" w:hAnsi="Times New Roman" w:eastAsia="仿宋_GB2312"/>
          <w:b w:val="0"/>
        </w:rPr>
        <w:t>一</w:t>
      </w:r>
      <w:r>
        <w:rPr>
          <w:rStyle w:val="28"/>
          <w:rFonts w:hint="eastAsia" w:ascii="仿宋_GB2312" w:hAnsi="Times New Roman" w:eastAsia="仿宋_GB2312"/>
          <w:b w:val="0"/>
          <w:bCs w:val="0"/>
        </w:rPr>
        <w:t>般公共预算财政拨款项目支出决算表</w:t>
      </w:r>
      <w:bookmarkEnd w:id="33"/>
    </w:p>
    <w:p w14:paraId="70E0DFBA">
      <w:pPr>
        <w:pStyle w:val="6"/>
        <w:ind w:firstLine="640"/>
        <w:rPr>
          <w:rFonts w:ascii="仿宋_GB2312" w:hAnsi="Times New Roman" w:eastAsia="仿宋_GB2312"/>
        </w:rPr>
      </w:pPr>
      <w:bookmarkStart w:id="34" w:name="_Toc207996199"/>
      <w:r>
        <w:rPr>
          <w:rStyle w:val="28"/>
          <w:rFonts w:hint="eastAsia" w:ascii="仿宋_GB2312" w:hAnsi="Times New Roman" w:eastAsia="仿宋_GB2312"/>
          <w:b w:val="0"/>
          <w:bCs w:val="0"/>
        </w:rPr>
        <w:t>十、</w:t>
      </w:r>
      <w:r>
        <w:rPr>
          <w:rFonts w:hint="eastAsia" w:ascii="仿宋_GB2312" w:hAnsi="Times New Roman" w:eastAsia="仿宋_GB2312"/>
          <w:b w:val="0"/>
        </w:rPr>
        <w:t>政</w:t>
      </w:r>
      <w:r>
        <w:rPr>
          <w:rStyle w:val="28"/>
          <w:rFonts w:hint="eastAsia" w:ascii="仿宋_GB2312" w:hAnsi="Times New Roman" w:eastAsia="仿宋_GB2312"/>
          <w:b w:val="0"/>
          <w:bCs w:val="0"/>
        </w:rPr>
        <w:t>府性基金预算财政拨款收入支出决算表</w:t>
      </w:r>
      <w:bookmarkEnd w:id="34"/>
    </w:p>
    <w:p w14:paraId="7DF3D74E">
      <w:pPr>
        <w:pStyle w:val="6"/>
        <w:ind w:firstLine="640"/>
        <w:rPr>
          <w:rFonts w:ascii="仿宋_GB2312" w:hAnsi="Times New Roman" w:eastAsia="仿宋_GB2312"/>
        </w:rPr>
      </w:pPr>
      <w:bookmarkStart w:id="35" w:name="_Toc207996200"/>
      <w:r>
        <w:rPr>
          <w:rStyle w:val="28"/>
          <w:rFonts w:hint="eastAsia" w:ascii="仿宋_GB2312" w:hAnsi="Times New Roman" w:eastAsia="仿宋_GB2312"/>
          <w:b w:val="0"/>
          <w:bCs w:val="0"/>
        </w:rPr>
        <w:t>十一、</w:t>
      </w:r>
      <w:r>
        <w:rPr>
          <w:rFonts w:hint="eastAsia" w:ascii="仿宋_GB2312" w:hAnsi="Times New Roman" w:eastAsia="仿宋_GB2312"/>
          <w:b w:val="0"/>
        </w:rPr>
        <w:t>国</w:t>
      </w:r>
      <w:r>
        <w:rPr>
          <w:rStyle w:val="28"/>
          <w:rFonts w:hint="eastAsia" w:ascii="仿宋_GB2312" w:hAnsi="Times New Roman" w:eastAsia="仿宋_GB2312"/>
          <w:b w:val="0"/>
          <w:bCs w:val="0"/>
        </w:rPr>
        <w:t>有资本经营预算财政拨款收入支出决算表</w:t>
      </w:r>
      <w:bookmarkEnd w:id="35"/>
    </w:p>
    <w:p w14:paraId="0E97CB8B">
      <w:pPr>
        <w:pStyle w:val="6"/>
        <w:ind w:firstLine="640"/>
        <w:rPr>
          <w:rFonts w:ascii="仿宋_GB2312" w:hAnsi="Times New Roman" w:eastAsia="仿宋_GB2312"/>
        </w:rPr>
      </w:pPr>
      <w:bookmarkStart w:id="36" w:name="_Toc207996201"/>
      <w:r>
        <w:rPr>
          <w:rStyle w:val="28"/>
          <w:rFonts w:hint="eastAsia" w:ascii="仿宋_GB2312" w:hAnsi="Times New Roman" w:eastAsia="仿宋_GB2312"/>
          <w:b w:val="0"/>
          <w:bCs w:val="0"/>
        </w:rPr>
        <w:t>十二、国有资本经营预算财政拨款支出决算表</w:t>
      </w:r>
      <w:bookmarkEnd w:id="36"/>
    </w:p>
    <w:p w14:paraId="70683EE0">
      <w:pPr>
        <w:pStyle w:val="6"/>
        <w:ind w:firstLine="640"/>
        <w:rPr>
          <w:rFonts w:ascii="仿宋_GB2312" w:hAnsi="Times New Roman" w:eastAsia="仿宋_GB2312"/>
        </w:rPr>
      </w:pPr>
      <w:bookmarkStart w:id="37" w:name="_Toc207996202"/>
      <w:r>
        <w:rPr>
          <w:rStyle w:val="28"/>
          <w:rFonts w:hint="eastAsia" w:ascii="仿宋_GB2312" w:hAnsi="Times New Roman" w:eastAsia="仿宋_GB2312"/>
          <w:b w:val="0"/>
          <w:bCs w:val="0"/>
        </w:rPr>
        <w:t>十三、财政拨款“三公”经费支出决算表</w:t>
      </w:r>
      <w:bookmarkEnd w:id="37"/>
    </w:p>
    <w:p w14:paraId="6A411E18">
      <w:pPr>
        <w:ind w:firstLine="640"/>
        <w:rPr>
          <w:rFonts w:ascii="Times New Roman" w:hAnsi="Times New Roman"/>
        </w:rPr>
      </w:pPr>
    </w:p>
    <w:sectPr>
      <w:footerReference r:id="rId12" w:type="default"/>
      <w:type w:val="continuous"/>
      <w:pgSz w:w="11906" w:h="16838"/>
      <w:pgMar w:top="1440" w:right="1800" w:bottom="1440" w:left="1800" w:header="720" w:footer="720"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Liberation Sans">
    <w:altName w:val="微软雅黑"/>
    <w:panose1 w:val="00000000000000000000"/>
    <w:charset w:val="00"/>
    <w:family w:val="swiss"/>
    <w:pitch w:val="default"/>
    <w:sig w:usb0="00000000" w:usb1="00000000" w:usb2="00000000" w:usb3="00000000" w:csb0="00040001" w:csb1="00000000"/>
  </w:font>
  <w:font w:name="Noto Sans CJK SC Regular">
    <w:altName w:val="宋体"/>
    <w:panose1 w:val="00000000000000000000"/>
    <w:charset w:val="86"/>
    <w:family w:val="auto"/>
    <w:pitch w:val="default"/>
    <w:sig w:usb0="00000000" w:usb1="00000000" w:usb2="00000016" w:usb3="00000000" w:csb0="602E0107"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7CCC1">
    <w:pPr>
      <w:pStyle w:val="14"/>
      <w:ind w:firstLine="560"/>
      <w:jc w:val="right"/>
      <w:rPr>
        <w:rFonts w:ascii="宋体" w:hAnsi="宋体" w:eastAsia="宋体"/>
        <w:sz w:val="28"/>
        <w:szCs w:val="28"/>
      </w:rPr>
    </w:pPr>
  </w:p>
  <w:p w14:paraId="1F789D0B">
    <w:pPr>
      <w:pStyle w:val="1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E5147B">
    <w:pPr>
      <w:pStyle w:val="1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2EA45E">
    <w:pPr>
      <w:pStyle w:val="1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4456796"/>
      <w:docPartObj>
        <w:docPartGallery w:val="autotext"/>
      </w:docPartObj>
    </w:sdtPr>
    <w:sdtEndPr>
      <w:rPr>
        <w:rFonts w:ascii="宋体" w:hAnsi="宋体" w:eastAsia="宋体"/>
        <w:sz w:val="28"/>
        <w:szCs w:val="28"/>
      </w:rPr>
    </w:sdtEndPr>
    <w:sdtContent>
      <w:p w14:paraId="51C1B7AB">
        <w:pPr>
          <w:pStyle w:val="14"/>
          <w:ind w:firstLine="36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p>
    </w:sdtContent>
  </w:sdt>
  <w:p w14:paraId="0FAFFC02">
    <w:pPr>
      <w:pStyle w:val="14"/>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98876609"/>
      <w:docPartObj>
        <w:docPartGallery w:val="autotext"/>
      </w:docPartObj>
    </w:sdtPr>
    <w:sdtEndPr>
      <w:rPr>
        <w:rFonts w:ascii="宋体" w:hAnsi="宋体" w:eastAsia="宋体"/>
        <w:sz w:val="28"/>
        <w:szCs w:val="28"/>
      </w:rPr>
    </w:sdtEndPr>
    <w:sdtContent>
      <w:p w14:paraId="5DC30CC4">
        <w:pPr>
          <w:pStyle w:val="14"/>
          <w:ind w:firstLine="36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16</w:t>
        </w:r>
        <w:r>
          <w:rPr>
            <w:rFonts w:ascii="宋体" w:hAnsi="宋体" w:eastAsia="宋体"/>
            <w:sz w:val="28"/>
            <w:szCs w:val="28"/>
          </w:rPr>
          <w:fldChar w:fldCharType="end"/>
        </w:r>
      </w:p>
    </w:sdtContent>
  </w:sdt>
  <w:p w14:paraId="1ECDB27E">
    <w:pPr>
      <w:pStyle w:val="1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526C5">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860DD">
    <w:pPr>
      <w:pStyle w:val="1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AE3A5">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18A09A"/>
    <w:multiLevelType w:val="singleLevel"/>
    <w:tmpl w:val="3818A09A"/>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
  <w:drawingGridVerticalSpacing w:val="1"/>
  <w:displayHorizontalDrawingGridEvery w:val="0"/>
  <w:displayVerticalDrawingGridEvery w:val="0"/>
  <w:doNotUseMarginsForDrawingGridOrigin w:val="1"/>
  <w:drawingGridHorizontalOrigin w:val="0"/>
  <w:drawingGridVerticalOrigin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IzZTM4N2Y4YTJlNmRjNjUwNjJlNTE4Njc0ZjExMDUifQ=="/>
  </w:docVars>
  <w:rsids>
    <w:rsidRoot w:val="002E5A38"/>
    <w:rsid w:val="0000103E"/>
    <w:rsid w:val="000037B4"/>
    <w:rsid w:val="000146F2"/>
    <w:rsid w:val="00032A35"/>
    <w:rsid w:val="00060C39"/>
    <w:rsid w:val="000B6145"/>
    <w:rsid w:val="000E5F46"/>
    <w:rsid w:val="000E7107"/>
    <w:rsid w:val="000F3AB2"/>
    <w:rsid w:val="000F6380"/>
    <w:rsid w:val="00113F44"/>
    <w:rsid w:val="0014429F"/>
    <w:rsid w:val="00183F9C"/>
    <w:rsid w:val="001A5028"/>
    <w:rsid w:val="001D1E09"/>
    <w:rsid w:val="00220A14"/>
    <w:rsid w:val="0022685F"/>
    <w:rsid w:val="0025038A"/>
    <w:rsid w:val="002551E2"/>
    <w:rsid w:val="0027618D"/>
    <w:rsid w:val="002B749C"/>
    <w:rsid w:val="002D20ED"/>
    <w:rsid w:val="002E5A38"/>
    <w:rsid w:val="002E6990"/>
    <w:rsid w:val="00301D57"/>
    <w:rsid w:val="003039E7"/>
    <w:rsid w:val="00312954"/>
    <w:rsid w:val="00321C3E"/>
    <w:rsid w:val="0033392D"/>
    <w:rsid w:val="003948AA"/>
    <w:rsid w:val="00394D8F"/>
    <w:rsid w:val="003A4FB2"/>
    <w:rsid w:val="003B6301"/>
    <w:rsid w:val="003C196B"/>
    <w:rsid w:val="003E34FE"/>
    <w:rsid w:val="003E49A6"/>
    <w:rsid w:val="003E5BF2"/>
    <w:rsid w:val="003E758B"/>
    <w:rsid w:val="003F19B1"/>
    <w:rsid w:val="00400EF4"/>
    <w:rsid w:val="0041361A"/>
    <w:rsid w:val="00471CC0"/>
    <w:rsid w:val="004775A6"/>
    <w:rsid w:val="004B4356"/>
    <w:rsid w:val="004B6B2E"/>
    <w:rsid w:val="004B702F"/>
    <w:rsid w:val="004C6075"/>
    <w:rsid w:val="004E08B6"/>
    <w:rsid w:val="005145EC"/>
    <w:rsid w:val="0051628D"/>
    <w:rsid w:val="00520E11"/>
    <w:rsid w:val="0056219B"/>
    <w:rsid w:val="00567B74"/>
    <w:rsid w:val="00574AE7"/>
    <w:rsid w:val="00580AEF"/>
    <w:rsid w:val="0058561C"/>
    <w:rsid w:val="00586F09"/>
    <w:rsid w:val="00590C55"/>
    <w:rsid w:val="00591B58"/>
    <w:rsid w:val="005E2BA6"/>
    <w:rsid w:val="00600AF8"/>
    <w:rsid w:val="006135FC"/>
    <w:rsid w:val="00630009"/>
    <w:rsid w:val="00644317"/>
    <w:rsid w:val="0067315E"/>
    <w:rsid w:val="00693D4F"/>
    <w:rsid w:val="006B179E"/>
    <w:rsid w:val="006B3C5A"/>
    <w:rsid w:val="006C2F76"/>
    <w:rsid w:val="0070365F"/>
    <w:rsid w:val="00710979"/>
    <w:rsid w:val="00740ACF"/>
    <w:rsid w:val="007648A2"/>
    <w:rsid w:val="0079299E"/>
    <w:rsid w:val="007C084B"/>
    <w:rsid w:val="007F28AE"/>
    <w:rsid w:val="0081224B"/>
    <w:rsid w:val="008278D8"/>
    <w:rsid w:val="00830009"/>
    <w:rsid w:val="00893286"/>
    <w:rsid w:val="008A3AF3"/>
    <w:rsid w:val="008B5298"/>
    <w:rsid w:val="008B70D5"/>
    <w:rsid w:val="008E509E"/>
    <w:rsid w:val="00913F6F"/>
    <w:rsid w:val="00940F5E"/>
    <w:rsid w:val="00944F34"/>
    <w:rsid w:val="0098387B"/>
    <w:rsid w:val="00996E83"/>
    <w:rsid w:val="009A7665"/>
    <w:rsid w:val="009E1896"/>
    <w:rsid w:val="009E53BF"/>
    <w:rsid w:val="00A14D88"/>
    <w:rsid w:val="00A20BF3"/>
    <w:rsid w:val="00A3210C"/>
    <w:rsid w:val="00A41376"/>
    <w:rsid w:val="00A50560"/>
    <w:rsid w:val="00A54E21"/>
    <w:rsid w:val="00A700BA"/>
    <w:rsid w:val="00A87D4C"/>
    <w:rsid w:val="00AA089A"/>
    <w:rsid w:val="00AD06C1"/>
    <w:rsid w:val="00AE49C2"/>
    <w:rsid w:val="00B06750"/>
    <w:rsid w:val="00B1159B"/>
    <w:rsid w:val="00B21D09"/>
    <w:rsid w:val="00B31E1F"/>
    <w:rsid w:val="00B51671"/>
    <w:rsid w:val="00B6245B"/>
    <w:rsid w:val="00B71462"/>
    <w:rsid w:val="00B74142"/>
    <w:rsid w:val="00B80976"/>
    <w:rsid w:val="00B9305A"/>
    <w:rsid w:val="00BB42A4"/>
    <w:rsid w:val="00BC7A24"/>
    <w:rsid w:val="00BE4118"/>
    <w:rsid w:val="00C0571E"/>
    <w:rsid w:val="00C07F9F"/>
    <w:rsid w:val="00C15DA7"/>
    <w:rsid w:val="00C16B2D"/>
    <w:rsid w:val="00C308A1"/>
    <w:rsid w:val="00C36846"/>
    <w:rsid w:val="00C67A1B"/>
    <w:rsid w:val="00C73C17"/>
    <w:rsid w:val="00C90D79"/>
    <w:rsid w:val="00C9117A"/>
    <w:rsid w:val="00CA0A42"/>
    <w:rsid w:val="00CA0DB5"/>
    <w:rsid w:val="00CA1884"/>
    <w:rsid w:val="00CB31FA"/>
    <w:rsid w:val="00CC445C"/>
    <w:rsid w:val="00CD56B8"/>
    <w:rsid w:val="00CE1E69"/>
    <w:rsid w:val="00CE7451"/>
    <w:rsid w:val="00D057FC"/>
    <w:rsid w:val="00D21F9B"/>
    <w:rsid w:val="00D41C5C"/>
    <w:rsid w:val="00D467B3"/>
    <w:rsid w:val="00D85065"/>
    <w:rsid w:val="00D902CD"/>
    <w:rsid w:val="00D95042"/>
    <w:rsid w:val="00DC421E"/>
    <w:rsid w:val="00E00E5C"/>
    <w:rsid w:val="00E02531"/>
    <w:rsid w:val="00E4452E"/>
    <w:rsid w:val="00E4469D"/>
    <w:rsid w:val="00E47566"/>
    <w:rsid w:val="00E63AE9"/>
    <w:rsid w:val="00E73F9F"/>
    <w:rsid w:val="00EA18BE"/>
    <w:rsid w:val="00EB0688"/>
    <w:rsid w:val="00EB2F07"/>
    <w:rsid w:val="00EB512F"/>
    <w:rsid w:val="00EC004C"/>
    <w:rsid w:val="00EC1450"/>
    <w:rsid w:val="00EC587E"/>
    <w:rsid w:val="00EC6E93"/>
    <w:rsid w:val="00ED7A4F"/>
    <w:rsid w:val="00EE2B4D"/>
    <w:rsid w:val="00F0543E"/>
    <w:rsid w:val="00F27756"/>
    <w:rsid w:val="00F45983"/>
    <w:rsid w:val="00F82E08"/>
    <w:rsid w:val="00FD04A1"/>
    <w:rsid w:val="00FE5702"/>
    <w:rsid w:val="00FF365A"/>
    <w:rsid w:val="00FF5B19"/>
    <w:rsid w:val="038E4DC1"/>
    <w:rsid w:val="051F3087"/>
    <w:rsid w:val="0E9656BC"/>
    <w:rsid w:val="0F6C3694"/>
    <w:rsid w:val="241925B4"/>
    <w:rsid w:val="2DB31A04"/>
    <w:rsid w:val="3CBA0AE5"/>
    <w:rsid w:val="3DB27A68"/>
    <w:rsid w:val="52497BA2"/>
    <w:rsid w:val="682211FB"/>
    <w:rsid w:val="7102347A"/>
    <w:rsid w:val="76D92082"/>
    <w:rsid w:val="7BFFE41D"/>
    <w:rsid w:val="7C7E3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ind w:firstLine="200" w:firstLineChars="200"/>
      <w:jc w:val="both"/>
    </w:pPr>
    <w:rPr>
      <w:rFonts w:ascii="Calibri" w:hAnsi="Calibri" w:eastAsia="仿宋" w:cs="Times New Roman"/>
      <w:kern w:val="2"/>
      <w:sz w:val="32"/>
      <w:szCs w:val="24"/>
      <w:lang w:val="en-US" w:eastAsia="zh-CN" w:bidi="ar-SA"/>
    </w:rPr>
  </w:style>
  <w:style w:type="paragraph" w:styleId="5">
    <w:name w:val="heading 1"/>
    <w:basedOn w:val="1"/>
    <w:next w:val="1"/>
    <w:link w:val="27"/>
    <w:qFormat/>
    <w:uiPriority w:val="9"/>
    <w:pPr>
      <w:keepNext/>
      <w:keepLines/>
      <w:spacing w:before="340" w:after="330" w:line="578" w:lineRule="auto"/>
      <w:outlineLvl w:val="0"/>
    </w:pPr>
    <w:rPr>
      <w:rFonts w:ascii="Times New Roman" w:hAnsi="Times New Roman"/>
      <w:b/>
      <w:bCs/>
      <w:kern w:val="44"/>
      <w:sz w:val="44"/>
      <w:szCs w:val="44"/>
    </w:rPr>
  </w:style>
  <w:style w:type="paragraph" w:styleId="6">
    <w:name w:val="heading 2"/>
    <w:basedOn w:val="1"/>
    <w:next w:val="1"/>
    <w:link w:val="28"/>
    <w:qFormat/>
    <w:uiPriority w:val="9"/>
    <w:pPr>
      <w:keepNext/>
      <w:keepLines/>
      <w:spacing w:before="260" w:after="260" w:line="416" w:lineRule="auto"/>
      <w:outlineLvl w:val="1"/>
    </w:pPr>
    <w:rPr>
      <w:rFonts w:ascii="Cambria" w:hAnsi="Cambria"/>
      <w:b/>
      <w:bCs/>
      <w:kern w:val="0"/>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pPr>
  </w:style>
  <w:style w:type="paragraph" w:styleId="4">
    <w:name w:val="Body Text Indent"/>
    <w:basedOn w:val="1"/>
    <w:next w:val="3"/>
    <w:qFormat/>
    <w:uiPriority w:val="0"/>
    <w:pPr>
      <w:spacing w:after="120"/>
      <w:ind w:left="200" w:leftChars="200"/>
    </w:pPr>
    <w:rPr>
      <w:rFonts w:ascii="仿宋_GB2312"/>
      <w:szCs w:val="32"/>
    </w:rPr>
  </w:style>
  <w:style w:type="paragraph" w:styleId="7">
    <w:name w:val="toc 7"/>
    <w:basedOn w:val="1"/>
    <w:next w:val="1"/>
    <w:autoRedefine/>
    <w:qFormat/>
    <w:uiPriority w:val="0"/>
    <w:pPr>
      <w:ind w:left="1920"/>
      <w:jc w:val="left"/>
    </w:pPr>
    <w:rPr>
      <w:rFonts w:asciiTheme="minorHAnsi" w:eastAsiaTheme="minorHAnsi"/>
      <w:sz w:val="18"/>
      <w:szCs w:val="18"/>
    </w:rPr>
  </w:style>
  <w:style w:type="paragraph" w:styleId="8">
    <w:name w:val="caption"/>
    <w:basedOn w:val="1"/>
    <w:qFormat/>
    <w:uiPriority w:val="0"/>
    <w:pPr>
      <w:suppressLineNumbers/>
      <w:spacing w:before="120" w:after="120"/>
    </w:pPr>
    <w:rPr>
      <w:i/>
      <w:iCs/>
      <w:sz w:val="24"/>
    </w:rPr>
  </w:style>
  <w:style w:type="paragraph" w:styleId="9">
    <w:name w:val="Body Text"/>
    <w:basedOn w:val="1"/>
    <w:qFormat/>
    <w:uiPriority w:val="0"/>
    <w:pPr>
      <w:spacing w:after="140" w:line="276" w:lineRule="auto"/>
    </w:pPr>
  </w:style>
  <w:style w:type="paragraph" w:styleId="10">
    <w:name w:val="toc 5"/>
    <w:basedOn w:val="1"/>
    <w:next w:val="1"/>
    <w:autoRedefine/>
    <w:qFormat/>
    <w:uiPriority w:val="0"/>
    <w:pPr>
      <w:ind w:left="1280"/>
      <w:jc w:val="left"/>
    </w:pPr>
    <w:rPr>
      <w:rFonts w:asciiTheme="minorHAnsi" w:eastAsiaTheme="minorHAnsi"/>
      <w:sz w:val="18"/>
      <w:szCs w:val="18"/>
    </w:rPr>
  </w:style>
  <w:style w:type="paragraph" w:styleId="11">
    <w:name w:val="toc 3"/>
    <w:basedOn w:val="1"/>
    <w:next w:val="1"/>
    <w:autoRedefine/>
    <w:qFormat/>
    <w:uiPriority w:val="39"/>
    <w:pPr>
      <w:ind w:left="640"/>
      <w:jc w:val="left"/>
    </w:pPr>
    <w:rPr>
      <w:rFonts w:asciiTheme="minorHAnsi" w:eastAsiaTheme="minorHAnsi"/>
      <w:i/>
      <w:iCs/>
      <w:sz w:val="20"/>
      <w:szCs w:val="20"/>
    </w:rPr>
  </w:style>
  <w:style w:type="paragraph" w:styleId="12">
    <w:name w:val="toc 8"/>
    <w:basedOn w:val="1"/>
    <w:next w:val="1"/>
    <w:autoRedefine/>
    <w:qFormat/>
    <w:uiPriority w:val="0"/>
    <w:pPr>
      <w:ind w:left="2240"/>
      <w:jc w:val="left"/>
    </w:pPr>
    <w:rPr>
      <w:rFonts w:asciiTheme="minorHAnsi" w:eastAsiaTheme="minorHAnsi"/>
      <w:sz w:val="18"/>
      <w:szCs w:val="18"/>
    </w:rPr>
  </w:style>
  <w:style w:type="paragraph" w:styleId="13">
    <w:name w:val="Balloon Text"/>
    <w:basedOn w:val="1"/>
    <w:link w:val="37"/>
    <w:qFormat/>
    <w:uiPriority w:val="0"/>
    <w:rPr>
      <w:sz w:val="18"/>
      <w:szCs w:val="18"/>
    </w:rPr>
  </w:style>
  <w:style w:type="paragraph" w:styleId="14">
    <w:name w:val="footer"/>
    <w:basedOn w:val="1"/>
    <w:link w:val="29"/>
    <w:qFormat/>
    <w:uiPriority w:val="99"/>
    <w:pPr>
      <w:tabs>
        <w:tab w:val="center" w:pos="4153"/>
        <w:tab w:val="right" w:pos="8306"/>
      </w:tabs>
      <w:snapToGrid w:val="0"/>
      <w:jc w:val="left"/>
    </w:pPr>
    <w:rPr>
      <w:sz w:val="18"/>
      <w:szCs w:val="18"/>
    </w:rPr>
  </w:style>
  <w:style w:type="paragraph" w:styleId="15">
    <w:name w:val="header"/>
    <w:basedOn w:val="1"/>
    <w:link w:val="30"/>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autoRedefine/>
    <w:qFormat/>
    <w:uiPriority w:val="0"/>
    <w:pPr>
      <w:ind w:left="960"/>
      <w:jc w:val="left"/>
    </w:pPr>
    <w:rPr>
      <w:rFonts w:asciiTheme="minorHAnsi" w:eastAsiaTheme="minorHAnsi"/>
      <w:sz w:val="18"/>
      <w:szCs w:val="18"/>
    </w:rPr>
  </w:style>
  <w:style w:type="paragraph" w:styleId="18">
    <w:name w:val="List"/>
    <w:basedOn w:val="9"/>
    <w:qFormat/>
    <w:uiPriority w:val="0"/>
  </w:style>
  <w:style w:type="paragraph" w:styleId="19">
    <w:name w:val="toc 6"/>
    <w:basedOn w:val="1"/>
    <w:next w:val="1"/>
    <w:autoRedefine/>
    <w:qFormat/>
    <w:uiPriority w:val="0"/>
    <w:pPr>
      <w:ind w:left="1600"/>
      <w:jc w:val="left"/>
    </w:pPr>
    <w:rPr>
      <w:rFonts w:asciiTheme="minorHAnsi" w:eastAsiaTheme="minorHAnsi"/>
      <w:sz w:val="18"/>
      <w:szCs w:val="18"/>
    </w:rPr>
  </w:style>
  <w:style w:type="paragraph" w:styleId="20">
    <w:name w:val="toc 2"/>
    <w:basedOn w:val="1"/>
    <w:next w:val="1"/>
    <w:unhideWhenUsed/>
    <w:qFormat/>
    <w:uiPriority w:val="39"/>
    <w:pPr>
      <w:ind w:left="320"/>
      <w:jc w:val="left"/>
    </w:pPr>
    <w:rPr>
      <w:rFonts w:asciiTheme="minorHAnsi" w:eastAsiaTheme="minorHAnsi"/>
      <w:smallCaps/>
      <w:sz w:val="20"/>
      <w:szCs w:val="20"/>
    </w:rPr>
  </w:style>
  <w:style w:type="paragraph" w:styleId="21">
    <w:name w:val="toc 9"/>
    <w:basedOn w:val="1"/>
    <w:next w:val="1"/>
    <w:autoRedefine/>
    <w:qFormat/>
    <w:uiPriority w:val="0"/>
    <w:pPr>
      <w:ind w:left="2560"/>
      <w:jc w:val="left"/>
    </w:pPr>
    <w:rPr>
      <w:rFonts w:asciiTheme="minorHAnsi" w:eastAsiaTheme="minorHAnsi"/>
      <w:sz w:val="18"/>
      <w:szCs w:val="18"/>
    </w:rPr>
  </w:style>
  <w:style w:type="table" w:styleId="23">
    <w:name w:val="Table Grid"/>
    <w:basedOn w:val="2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99"/>
    <w:rPr>
      <w:b/>
    </w:rPr>
  </w:style>
  <w:style w:type="character" w:styleId="26">
    <w:name w:val="Hyperlink"/>
    <w:basedOn w:val="24"/>
    <w:unhideWhenUsed/>
    <w:qFormat/>
    <w:uiPriority w:val="99"/>
    <w:rPr>
      <w:color w:val="0563C1" w:themeColor="hyperlink"/>
      <w:u w:val="single"/>
      <w14:textFill>
        <w14:solidFill>
          <w14:schemeClr w14:val="hlink"/>
        </w14:solidFill>
      </w14:textFill>
    </w:rPr>
  </w:style>
  <w:style w:type="character" w:customStyle="1" w:styleId="27">
    <w:name w:val="标题 1 字符"/>
    <w:link w:val="5"/>
    <w:qFormat/>
    <w:uiPriority w:val="9"/>
    <w:rPr>
      <w:b/>
      <w:bCs/>
      <w:kern w:val="44"/>
      <w:sz w:val="44"/>
      <w:szCs w:val="44"/>
    </w:rPr>
  </w:style>
  <w:style w:type="character" w:customStyle="1" w:styleId="28">
    <w:name w:val="标题 2 字符"/>
    <w:link w:val="6"/>
    <w:qFormat/>
    <w:uiPriority w:val="9"/>
    <w:rPr>
      <w:rFonts w:ascii="Cambria" w:hAnsi="Cambria" w:eastAsia="宋体" w:cs="Times New Roman"/>
      <w:b/>
      <w:bCs/>
      <w:sz w:val="32"/>
      <w:szCs w:val="32"/>
    </w:rPr>
  </w:style>
  <w:style w:type="character" w:customStyle="1" w:styleId="29">
    <w:name w:val="页脚 字符"/>
    <w:link w:val="14"/>
    <w:qFormat/>
    <w:uiPriority w:val="99"/>
    <w:rPr>
      <w:rFonts w:ascii="Calibri" w:hAnsi="Calibri"/>
      <w:kern w:val="2"/>
      <w:sz w:val="18"/>
      <w:szCs w:val="18"/>
    </w:rPr>
  </w:style>
  <w:style w:type="character" w:customStyle="1" w:styleId="30">
    <w:name w:val="页眉 字符"/>
    <w:link w:val="15"/>
    <w:qFormat/>
    <w:uiPriority w:val="0"/>
    <w:rPr>
      <w:rFonts w:ascii="Calibri" w:hAnsi="Calibri"/>
      <w:kern w:val="2"/>
      <w:sz w:val="18"/>
      <w:szCs w:val="18"/>
    </w:rPr>
  </w:style>
  <w:style w:type="character" w:customStyle="1" w:styleId="31">
    <w:name w:val="默认段落字体1"/>
    <w:qFormat/>
    <w:uiPriority w:val="0"/>
  </w:style>
  <w:style w:type="paragraph" w:customStyle="1" w:styleId="32">
    <w:name w:val="Heading"/>
    <w:basedOn w:val="1"/>
    <w:next w:val="9"/>
    <w:qFormat/>
    <w:uiPriority w:val="0"/>
    <w:pPr>
      <w:keepNext/>
      <w:spacing w:before="240" w:after="120"/>
    </w:pPr>
    <w:rPr>
      <w:rFonts w:ascii="Liberation Sans" w:hAnsi="Liberation Sans" w:eastAsia="Noto Sans CJK SC Regular" w:cs="Noto Sans CJK SC Regular"/>
      <w:sz w:val="28"/>
      <w:szCs w:val="28"/>
    </w:rPr>
  </w:style>
  <w:style w:type="paragraph" w:customStyle="1" w:styleId="33">
    <w:name w:val="Index"/>
    <w:basedOn w:val="1"/>
    <w:qFormat/>
    <w:uiPriority w:val="0"/>
    <w:pPr>
      <w:suppressLineNumbers/>
    </w:pPr>
  </w:style>
  <w:style w:type="paragraph" w:styleId="34">
    <w:name w:val="List Paragraph"/>
    <w:basedOn w:val="1"/>
    <w:qFormat/>
    <w:uiPriority w:val="34"/>
    <w:pPr>
      <w:ind w:firstLine="420"/>
    </w:p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TOC Heading"/>
    <w:basedOn w:val="5"/>
    <w:next w:val="1"/>
    <w:unhideWhenUsed/>
    <w:qFormat/>
    <w:uiPriority w:val="39"/>
    <w:pPr>
      <w:widowControl/>
      <w:suppressAutoHyphens w:val="0"/>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37">
    <w:name w:val="批注框文本 字符"/>
    <w:basedOn w:val="24"/>
    <w:link w:val="13"/>
    <w:qFormat/>
    <w:uiPriority w:val="0"/>
    <w:rPr>
      <w:rFonts w:ascii="Calibri" w:hAnsi="Calibri" w:eastAsia="仿宋"/>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numbering" Target="numbering.xml"/><Relationship Id="rId20" Type="http://schemas.openxmlformats.org/officeDocument/2006/relationships/chart" Target="charts/chart7.xml"/><Relationship Id="rId2" Type="http://schemas.openxmlformats.org/officeDocument/2006/relationships/settings" Target="settings.xml"/><Relationship Id="rId19" Type="http://schemas.openxmlformats.org/officeDocument/2006/relationships/chart" Target="charts/chart6.xml"/><Relationship Id="rId18" Type="http://schemas.openxmlformats.org/officeDocument/2006/relationships/chart" Target="charts/chart5.xml"/><Relationship Id="rId17" Type="http://schemas.openxmlformats.org/officeDocument/2006/relationships/chart" Target="charts/chart4.xml"/><Relationship Id="rId16" Type="http://schemas.openxmlformats.org/officeDocument/2006/relationships/chart" Target="charts/chart3.xml"/><Relationship Id="rId15" Type="http://schemas.openxmlformats.org/officeDocument/2006/relationships/chart" Target="charts/chart2.xml"/><Relationship Id="rId14" Type="http://schemas.openxmlformats.org/officeDocument/2006/relationships/chart" Target="charts/chart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Microsoft%20Word%20&#20013;&#30340;&#22270;&#34920;"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b="1"/>
              <a:t>收、支决算总计变动情况图</a:t>
            </a:r>
            <a:endParaRPr lang="zh-CN" altLang="en-US" b="1"/>
          </a:p>
        </c:rich>
      </c:tx>
      <c:layout/>
      <c:overlay val="0"/>
      <c:spPr>
        <a:noFill/>
        <a:ln>
          <a:noFill/>
        </a:ln>
        <a:effectLst/>
      </c:spPr>
    </c:title>
    <c:autoTitleDeleted val="0"/>
    <c:plotArea>
      <c:layout/>
      <c:barChart>
        <c:barDir val="col"/>
        <c:grouping val="clustered"/>
        <c:varyColors val="0"/>
        <c:ser>
          <c:idx val="0"/>
          <c:order val="0"/>
          <c:tx>
            <c:strRef>
              <c:f>'[Microsoft Word 中的图表]Sheet1'!$B$1</c:f>
              <c:strCache>
                <c:ptCount val="1"/>
                <c:pt idx="0">
                  <c:v>2024年</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'[Microsoft Word 中的图表]Sheet1'!$A$2:$A$3</c:f>
              <c:strCache>
                <c:ptCount val="2"/>
                <c:pt idx="0">
                  <c:v>收入</c:v>
                </c:pt>
                <c:pt idx="1">
                  <c:v>支出</c:v>
                </c:pt>
              </c:strCache>
            </c:strRef>
          </c:cat>
          <c:val>
            <c:numRef>
              <c:f>'[Microsoft Word 中的图表]Sheet1'!$B$2:$B$3</c:f>
              <c:numCache>
                <c:formatCode>General</c:formatCode>
                <c:ptCount val="2"/>
                <c:pt idx="0">
                  <c:v>321.41</c:v>
                </c:pt>
                <c:pt idx="1">
                  <c:v>321.41</c:v>
                </c:pt>
              </c:numCache>
            </c:numRef>
          </c:val>
        </c:ser>
        <c:ser>
          <c:idx val="1"/>
          <c:order val="1"/>
          <c:tx>
            <c:strRef>
              <c:f>'[Microsoft Word 中的图表]Sheet1'!$C$1</c:f>
              <c:strCache>
                <c:ptCount val="1"/>
                <c:pt idx="0">
                  <c:v>2025年</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errBars>
            <c:errBarType val="both"/>
            <c:errValType val="stdErr"/>
            <c:noEndCap val="0"/>
            <c:spPr>
              <a:noFill/>
              <a:ln w="9525" cap="flat" cmpd="sng" algn="ctr">
                <a:solidFill>
                  <a:schemeClr val="tx1">
                    <a:lumMod val="65000"/>
                    <a:lumOff val="35000"/>
                  </a:schemeClr>
                </a:solidFill>
                <a:round/>
              </a:ln>
              <a:effectLst/>
            </c:spPr>
          </c:errBars>
          <c:cat>
            <c:strRef>
              <c:f>'[Microsoft Word 中的图表]Sheet1'!$A$2:$A$3</c:f>
              <c:strCache>
                <c:ptCount val="2"/>
                <c:pt idx="0">
                  <c:v>收入</c:v>
                </c:pt>
                <c:pt idx="1">
                  <c:v>支出</c:v>
                </c:pt>
              </c:strCache>
            </c:strRef>
          </c:cat>
          <c:val>
            <c:numRef>
              <c:f>'[Microsoft Word 中的图表]Sheet1'!$C$2:$C$3</c:f>
              <c:numCache>
                <c:formatCode>General</c:formatCode>
                <c:ptCount val="2"/>
                <c:pt idx="0">
                  <c:v>424.45</c:v>
                </c:pt>
                <c:pt idx="1">
                  <c:v>424.45</c:v>
                </c:pt>
              </c:numCache>
            </c:numRef>
          </c:val>
        </c:ser>
        <c:dLbls>
          <c:showLegendKey val="0"/>
          <c:showVal val="1"/>
          <c:showCatName val="0"/>
          <c:showSerName val="0"/>
          <c:showPercent val="0"/>
          <c:showBubbleSize val="0"/>
        </c:dLbls>
        <c:gapWidth val="219"/>
        <c:overlap val="-27"/>
        <c:axId val="532896176"/>
        <c:axId val="391390384"/>
      </c:barChart>
      <c:catAx>
        <c:axId val="532896176"/>
        <c:scaling>
          <c:orientation val="minMax"/>
        </c:scaling>
        <c:delete val="0"/>
        <c:axPos val="b"/>
        <c:title>
          <c:tx>
            <c:rich>
              <a:bodyPr rot="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zh-CN" altLang="en-US"/>
                  <a:t>年度</a:t>
                </a:r>
                <a:endParaRPr lang="zh-CN" altLang="en-US"/>
              </a:p>
            </c:rich>
          </c:tx>
          <c:layout>
            <c:manualLayout>
              <c:xMode val="edge"/>
              <c:yMode val="edge"/>
              <c:x val="0.924149168853893"/>
              <c:y val="0.68596675415573"/>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91390384"/>
        <c:crosses val="autoZero"/>
        <c:auto val="1"/>
        <c:lblAlgn val="ctr"/>
        <c:lblOffset val="100"/>
        <c:noMultiLvlLbl val="0"/>
      </c:catAx>
      <c:valAx>
        <c:axId val="3913903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zh-CN" sz="1000" b="0" i="0" u="none" strike="noStrike" kern="1200" baseline="0">
                    <a:solidFill>
                      <a:schemeClr val="tx1">
                        <a:lumMod val="65000"/>
                        <a:lumOff val="35000"/>
                      </a:schemeClr>
                    </a:solidFill>
                    <a:latin typeface="+mn-lt"/>
                    <a:ea typeface="+mn-ea"/>
                    <a:cs typeface="+mn-cs"/>
                  </a:defRPr>
                </a:pPr>
                <a:r>
                  <a:rPr lang="zh-CN" altLang="en-US"/>
                  <a:t>金额：万元</a:t>
                </a:r>
                <a:endParaRPr lang="zh-CN" altLang="en-US"/>
              </a:p>
            </c:rich>
          </c:tx>
          <c:layout>
            <c:manualLayout>
              <c:xMode val="edge"/>
              <c:yMode val="edge"/>
              <c:x val="0.0222222222222222"/>
              <c:y val="0.105529673374162"/>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896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8284a18-f530-4ea0-a75e-43397ffdeef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收入决算结构图</a:t>
            </a:r>
            <a:endParaRPr lang="zh-CN" altLang="en-US"/>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5"/>
                <c:pt idx="0">
                  <c:v>一般公共预算财政拨款收入</c:v>
                </c:pt>
                <c:pt idx="1">
                  <c:v>事业收入</c:v>
                </c:pt>
                <c:pt idx="2">
                  <c:v>经营收入</c:v>
                </c:pt>
                <c:pt idx="3">
                  <c:v>附属单位上缴收入</c:v>
                </c:pt>
                <c:pt idx="4">
                  <c:v>其他收入</c:v>
                </c:pt>
              </c:strCache>
            </c:strRef>
          </c:cat>
          <c:val>
            <c:numRef>
              <c:f>Sheet1!$B$2:$B$5</c:f>
              <c:numCache>
                <c:formatCode>General</c:formatCode>
                <c:ptCount val="1"/>
                <c:pt idx="0">
                  <c:v>424.45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6810e09-092b-4448-93e5-13c62c4f5436}"/>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r>
              <a:rPr lang="zh-CN" altLang="en-US" b="1"/>
              <a:t>支出决算结构图</a:t>
            </a:r>
            <a:endParaRPr lang="zh-CN" altLang="en-US" b="1"/>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delete val="1"/>
          </c:dLbls>
          <c:cat>
            <c:strRef>
              <c:f>Sheet1!$A$2:$A$5</c:f>
              <c:strCache>
                <c:ptCount val="2"/>
                <c:pt idx="0">
                  <c:v>基本支出</c:v>
                </c:pt>
                <c:pt idx="1">
                  <c:v>项目支出</c:v>
                </c:pt>
              </c:strCache>
            </c:strRef>
          </c:cat>
          <c:val>
            <c:numRef>
              <c:f>Sheet1!$B$2:$B$5</c:f>
              <c:numCache>
                <c:formatCode>General</c:formatCode>
                <c:ptCount val="2"/>
                <c:pt idx="0">
                  <c:v>399.79</c:v>
                </c:pt>
                <c:pt idx="1">
                  <c:v>24.66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9a40f9-5364-424c-83e7-9f7add613d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财政拨款收、支决算总计变动情况</a:t>
            </a:r>
            <a:endParaRPr lang="zh-CN" altLang="en-US"/>
          </a:p>
        </c:rich>
      </c:tx>
      <c:layout/>
      <c:overlay val="0"/>
      <c:spPr>
        <a:noFill/>
        <a:ln>
          <a:noFill/>
        </a:ln>
        <a:effectLst/>
      </c:spPr>
    </c:title>
    <c:autoTitleDeleted val="0"/>
    <c:plotArea>
      <c:layout>
        <c:manualLayout>
          <c:layoutTarget val="inner"/>
          <c:xMode val="edge"/>
          <c:yMode val="edge"/>
          <c:x val="0.291555931384392"/>
          <c:y val="0.298555036124097"/>
          <c:w val="0.39514375453008"/>
          <c:h val="0.695070123246919"/>
        </c:manualLayout>
      </c:layout>
      <c:barChart>
        <c:barDir val="col"/>
        <c:grouping val="clustered"/>
        <c:varyColors val="0"/>
        <c:ser>
          <c:idx val="0"/>
          <c:order val="0"/>
          <c:tx>
            <c:strRef>
              <c:f>Sheet1!$B$1</c:f>
              <c:strCache>
                <c:ptCount val="1"/>
                <c:pt idx="0">
                  <c:v>金额</c:v>
                </c:pt>
              </c:strCache>
            </c:strRef>
          </c:tx>
          <c:spPr>
            <a:solidFill>
              <a:schemeClr val="accent1"/>
            </a:solidFill>
            <a:ln>
              <a:solidFill>
                <a:schemeClr val="bg1"/>
              </a:solidFill>
            </a:ln>
            <a:effectLst/>
          </c:spPr>
          <c:invertIfNegative val="0"/>
          <c:dLbls>
            <c:delete val="1"/>
          </c:dLbls>
          <c:cat>
            <c:strRef>
              <c:f>Sheet1!$A$2:$A$3</c:f>
              <c:strCache>
                <c:ptCount val="2"/>
                <c:pt idx="0">
                  <c:v>2024年</c:v>
                </c:pt>
                <c:pt idx="1">
                  <c:v>2025年</c:v>
                </c:pt>
              </c:strCache>
            </c:strRef>
          </c:cat>
          <c:val>
            <c:numRef>
              <c:f>Sheet1!$B$2:$B$3</c:f>
              <c:numCache>
                <c:formatCode>General</c:formatCode>
                <c:ptCount val="2"/>
                <c:pt idx="0">
                  <c:v>321.41</c:v>
                </c:pt>
                <c:pt idx="1">
                  <c:v>424.45</c:v>
                </c:pt>
              </c:numCache>
            </c:numRef>
          </c:val>
        </c:ser>
        <c:dLbls>
          <c:showLegendKey val="0"/>
          <c:showVal val="0"/>
          <c:showCatName val="0"/>
          <c:showSerName val="0"/>
          <c:showPercent val="0"/>
          <c:showBubbleSize val="0"/>
        </c:dLbls>
        <c:gapWidth val="100"/>
        <c:axId val="405121558"/>
        <c:axId val="837728044"/>
      </c:barChart>
      <c:catAx>
        <c:axId val="405121558"/>
        <c:scaling>
          <c:orientation val="minMax"/>
        </c:scaling>
        <c:delete val="0"/>
        <c:axPos val="b"/>
        <c:numFmt formatCode="General"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37728044"/>
        <c:crosses val="autoZero"/>
        <c:auto val="1"/>
        <c:lblAlgn val="ctr"/>
        <c:lblOffset val="100"/>
        <c:noMultiLvlLbl val="0"/>
      </c:catAx>
      <c:valAx>
        <c:axId val="837728044"/>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金额：万元</a:t>
                </a:r>
                <a:endParaRPr lang="zh-CN" altLang="en-US"/>
              </a:p>
            </c:rich>
          </c:tx>
          <c:layout>
            <c:manualLayout>
              <c:xMode val="edge"/>
              <c:yMode val="edge"/>
              <c:x val="0.150984329993193"/>
              <c:y val="0.176395784600381"/>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5121558"/>
        <c:crosses val="autoZero"/>
        <c:crossBetween val="between"/>
      </c:valAx>
      <c:spPr>
        <a:noFill/>
        <a:ln>
          <a:noFill/>
        </a:ln>
        <a:effectLst/>
      </c:spPr>
    </c:plotArea>
    <c:legend>
      <c:legendPos val="t"/>
      <c:layout>
        <c:manualLayout>
          <c:xMode val="edge"/>
          <c:yMode val="edge"/>
          <c:x val="0.831619537275064"/>
          <c:y val="0.81498331816803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12d4fba-b6c1-4e92-ad7b-374e287ed2c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一般公共预算财政拨款支出决算变动情况</a:t>
            </a:r>
            <a:endParaRPr lang="zh-CN" altLang="en-US"/>
          </a:p>
        </c:rich>
      </c:tx>
      <c:layout/>
      <c:overlay val="0"/>
      <c:spPr>
        <a:noFill/>
        <a:ln>
          <a:noFill/>
        </a:ln>
        <a:effectLst/>
      </c:spPr>
    </c:title>
    <c:autoTitleDeleted val="0"/>
    <c:plotArea>
      <c:layout>
        <c:manualLayout>
          <c:layoutTarget val="inner"/>
          <c:xMode val="edge"/>
          <c:yMode val="edge"/>
          <c:x val="0.168300075776711"/>
          <c:y val="0.1554706807459"/>
          <c:w val="0.725738822935085"/>
          <c:h val="0.639721410918895"/>
        </c:manualLayout>
      </c:layout>
      <c:barChart>
        <c:barDir val="col"/>
        <c:grouping val="clustered"/>
        <c:varyColors val="0"/>
        <c:ser>
          <c:idx val="0"/>
          <c:order val="0"/>
          <c:tx>
            <c:strRef>
              <c:f>Sheet1!$B$1</c:f>
              <c:strCache>
                <c:ptCount val="1"/>
                <c:pt idx="0">
                  <c:v>金额</c:v>
                </c:pt>
              </c:strCache>
            </c:strRef>
          </c:tx>
          <c:spPr>
            <a:solidFill>
              <a:schemeClr val="accent1"/>
            </a:solidFill>
            <a:ln>
              <a:noFill/>
            </a:ln>
            <a:effectLst/>
          </c:spPr>
          <c:invertIfNegative val="0"/>
          <c:dLbls>
            <c:delete val="1"/>
          </c:dLbls>
          <c:cat>
            <c:strRef>
              <c:extLst>
                <c:ext xmlns:c15="http://schemas.microsoft.com/office/drawing/2012/chart" uri="{02D57815-91ED-43cb-92C2-25804820EDAC}">
                  <c15:fullRef>
                    <c15:sqref>Sheet1!$A$2:$A$3</c15:sqref>
                  </c15:fullRef>
                </c:ext>
              </c:extLst>
              <c:f>Sheet1!$A$2:$A$3</c:f>
              <c:strCache>
                <c:ptCount val="2"/>
                <c:pt idx="0">
                  <c:v>2024年</c:v>
                </c:pt>
                <c:pt idx="1">
                  <c:v>2025年</c:v>
                </c:pt>
              </c:strCache>
            </c:strRef>
          </c:cat>
          <c:val>
            <c:numRef>
              <c:extLst>
                <c:ext xmlns:c15="http://schemas.microsoft.com/office/drawing/2012/chart" uri="{02D57815-91ED-43cb-92C2-25804820EDAC}">
                  <c15:fullRef>
                    <c15:sqref>Sheet1!$B$2:$B$3</c15:sqref>
                  </c15:fullRef>
                </c:ext>
              </c:extLst>
              <c:f>Sheet1!$B$2:$B$3</c:f>
              <c:numCache>
                <c:formatCode>General</c:formatCode>
                <c:ptCount val="2"/>
                <c:pt idx="0">
                  <c:v>321.41</c:v>
                </c:pt>
                <c:pt idx="1">
                  <c:v>424.45</c:v>
                </c:pt>
              </c:numCache>
            </c:numRef>
          </c:val>
        </c:ser>
        <c:dLbls>
          <c:showLegendKey val="0"/>
          <c:showVal val="0"/>
          <c:showCatName val="0"/>
          <c:showSerName val="0"/>
          <c:showPercent val="0"/>
          <c:showBubbleSize val="0"/>
        </c:dLbls>
        <c:gapWidth val="246"/>
        <c:axId val="15503957"/>
        <c:axId val="613932486"/>
      </c:barChart>
      <c:catAx>
        <c:axId val="15503957"/>
        <c:scaling>
          <c:orientation val="minMax"/>
        </c:scaling>
        <c:delete val="0"/>
        <c:axPos val="b"/>
        <c:title>
          <c:tx>
            <c:rich>
              <a:bodyPr rot="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年度</a:t>
                </a:r>
                <a:endParaRPr lang="zh-CN" altLang="en-US"/>
              </a:p>
            </c:rich>
          </c:tx>
          <c:layout>
            <c:manualLayout>
              <c:xMode val="edge"/>
              <c:yMode val="edge"/>
              <c:x val="0.880321333655472"/>
              <c:y val="0.875478113047174"/>
            </c:manualLayout>
          </c:layout>
          <c:overlay val="0"/>
          <c:spPr>
            <a:noFill/>
            <a:ln>
              <a:noFill/>
            </a:ln>
            <a:effectLst/>
          </c:spPr>
        </c:title>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3932486"/>
        <c:crosses val="autoZero"/>
        <c:auto val="1"/>
        <c:lblAlgn val="ctr"/>
        <c:lblOffset val="100"/>
        <c:noMultiLvlLbl val="0"/>
      </c:catAx>
      <c:valAx>
        <c:axId val="613932486"/>
        <c:scaling>
          <c:orientation val="minMax"/>
        </c:scaling>
        <c:delete val="0"/>
        <c:axPos val="l"/>
        <c:majorGridlines>
          <c:spPr>
            <a:ln w="9525" cap="flat" cmpd="sng" algn="ctr">
              <a:solidFill>
                <a:schemeClr val="lt1">
                  <a:lumMod val="90200"/>
                </a:schemeClr>
              </a:solidFill>
              <a:round/>
            </a:ln>
            <a:effectLst/>
          </c:spPr>
        </c:majorGridlines>
        <c:title>
          <c:tx>
            <c:rich>
              <a:bodyPr rot="-5400000" spcFirstLastPara="0" vertOverflow="ellipsis" vert="horz" wrap="square" anchor="ctr" anchorCtr="1"/>
              <a:lstStyle/>
              <a:p>
                <a:pPr defTabSz="914400">
                  <a:defRPr lang="zh-CN" sz="1000" b="0" i="0" u="none" strike="noStrike" kern="1200" baseline="0">
                    <a:solidFill>
                      <a:schemeClr val="tx1">
                        <a:lumMod val="65000"/>
                        <a:lumOff val="35000"/>
                      </a:schemeClr>
                    </a:solidFill>
                    <a:latin typeface="+mn-lt"/>
                    <a:ea typeface="+mn-ea"/>
                    <a:cs typeface="+mn-cs"/>
                  </a:defRPr>
                </a:pPr>
                <a:r>
                  <a:rPr lang="zh-CN" altLang="en-US"/>
                  <a:t>金额：万元</a:t>
                </a:r>
                <a:endParaRPr lang="zh-CN" altLang="en-US"/>
              </a:p>
            </c:rich>
          </c:tx>
          <c:layout>
            <c:manualLayout>
              <c:xMode val="edge"/>
              <c:yMode val="edge"/>
              <c:x val="0.057864218410244"/>
              <c:y val="0.12870803229919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503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387c7fa9-c804-4077-a7b2-2f85c418fad7}"/>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zh-CN" altLang="en-US"/>
              <a:t>一般公共预算财政拨款支出决算结构</a:t>
            </a:r>
            <a:endParaRPr lang="zh-CN" altLang="en-US"/>
          </a:p>
        </c:rich>
      </c:tx>
      <c:layout>
        <c:manualLayout>
          <c:xMode val="edge"/>
          <c:yMode val="edge"/>
          <c:x val="0.17669384312623"/>
          <c:y val="0.0292255236239649"/>
        </c:manualLayout>
      </c:layout>
      <c:overlay val="0"/>
      <c:spPr>
        <a:noFill/>
        <a:ln>
          <a:noFill/>
        </a:ln>
        <a:effectLst/>
      </c:spPr>
    </c:title>
    <c:autoTitleDeleted val="0"/>
    <c:plotArea>
      <c:layout/>
      <c:pieChart>
        <c:varyColors val="1"/>
        <c:ser>
          <c:idx val="0"/>
          <c:order val="0"/>
          <c:tx>
            <c:strRef>
              <c:f>Sheet1!$B$1</c:f>
              <c:strCache>
                <c:ptCount val="1"/>
                <c:pt idx="0">
                  <c:v>金额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社会保障和就业支出</c:v>
                </c:pt>
                <c:pt idx="1">
                  <c:v>卫生健康支出</c:v>
                </c:pt>
                <c:pt idx="2">
                  <c:v>农林水支出</c:v>
                </c:pt>
                <c:pt idx="3">
                  <c:v>住房保障支出</c:v>
                </c:pt>
              </c:strCache>
            </c:strRef>
          </c:cat>
          <c:val>
            <c:numRef>
              <c:f>Sheet1!$B$2:$B$5</c:f>
              <c:numCache>
                <c:formatCode>General</c:formatCode>
                <c:ptCount val="4"/>
                <c:pt idx="0">
                  <c:v>39</c:v>
                </c:pt>
                <c:pt idx="1">
                  <c:v>20.5</c:v>
                </c:pt>
                <c:pt idx="2">
                  <c:v>337.31</c:v>
                </c:pt>
                <c:pt idx="3">
                  <c:v>27.64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d412e111-1672-4d8e-ad61-eca34aa31de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24627503478603"/>
          <c:y val="0.00430594900849858"/>
        </c:manualLayout>
      </c:layout>
      <c:overlay val="0"/>
      <c:spPr>
        <a:noFill/>
        <a:ln>
          <a:noFill/>
        </a:ln>
        <a:effectLst/>
      </c:spPr>
      <c:txPr>
        <a:bodyPr rot="0" spcFirstLastPara="1" vertOverflow="ellipsis" vert="horz" wrap="square" anchor="ctr" anchorCtr="1"/>
        <a:lstStyle/>
        <a:p>
          <a:pPr>
            <a:defRPr lang="zh-CN" sz="1400" b="1" i="0" u="none" strike="noStrike" kern="1200" cap="all" spc="5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“三公”经费财政拨款支出结构图</c:v>
                </c:pt>
              </c:strCache>
            </c:strRef>
          </c:tx>
          <c:spPr/>
          <c:explosion val="0"/>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dPt>
          <c:dLbls>
            <c:delete val="1"/>
          </c:dLbls>
          <c:cat>
            <c:strRef>
              <c:f>Sheet1!$A$2:$A$5</c:f>
              <c:strCache>
                <c:ptCount val="1"/>
                <c:pt idx="0">
                  <c:v>公务用车运行维护费</c:v>
                </c:pt>
              </c:strCache>
            </c:strRef>
          </c:cat>
          <c:val>
            <c:numRef>
              <c:f>Sheet1!$B$2:$B$5</c:f>
              <c:numCache>
                <c:formatCode>0%</c:formatCode>
                <c:ptCount val="4"/>
                <c:pt idx="0">
                  <c:v>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a2e646f-cf81-4f8d-9c3b-99d5105dea4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036b97eb-609b-44e3-830f-8cf73e254092</errorID>
      <errorWord>有害生物的防治</errorWord>
      <group>L1_Political</group>
      <groupName>政治性问题</groupName>
      <ability>L2_Keyword</ability>
      <abilityName>固定表述</abilityName>
      <candidateList>
        <item>有害生物防治</item>
      </candidateList>
      <explain>词汇“有害生物防治”在特定场景下为固定表述形式，请确认此处的“有害生物的防治”是否存在不当。</explain>
      <paraID>20B12E69</paraID>
      <start>69</start>
      <end>75</end>
      <status>modified</status>
      <modifiedWord>有害生物防治</modifiedWord>
      <trackRevisions>false</trackRevisions>
    </reviewItem>
    <reviewItem>
      <errorID>087ebbd3-308d-4da0-9f0a-ef9d28c38f4d</errorID>
      <errorWord>(</errorWord>
      <group>L1_Format</group>
      <groupName>格式问题</groupName>
      <ability>L2_HalfPunc_CN</ability>
      <abilityName>全半角检查</abilityName>
      <candidateList>
        <item>（</item>
      </candidateList>
      <explain>文本全半角错误。</explain>
      <paraID>7DA9E438</paraID>
      <start>73</start>
      <end>74</end>
      <status>modified</status>
      <modifiedWord>（</modifiedWord>
      <trackRevisions>false</trackRevisions>
    </reviewItem>
    <reviewItem>
      <errorID>e583b819-6b75-4b3a-bae4-fed6a0afa051</errorID>
      <errorWord>)</errorWord>
      <group>L1_Format</group>
      <groupName>格式问题</groupName>
      <ability>L2_HalfPunc_CN</ability>
      <abilityName>全半角检查</abilityName>
      <candidateList>
        <item>）</item>
      </candidateList>
      <explain>文本全半角错误。</explain>
      <paraID>7DA9E438</paraID>
      <start>82</start>
      <end>83</end>
      <status>modified</status>
      <modifiedWord>）</modifiedWord>
      <trackRevisions>false</trackRevisions>
    </reviewItem>
    <reviewItem>
      <errorID>4acca382-1056-4c72-aa69-b4d417597d4f</errorID>
      <errorWord>:</errorWord>
      <group>L1_Format</group>
      <groupName>格式问题</groupName>
      <ability>L2_HalfPunc_CN</ability>
      <abilityName>全半角检查</abilityName>
      <candidateList>
        <item>：</item>
      </candidateList>
      <explain>文本全半角错误。</explain>
      <paraID>4D69A0C9</paraID>
      <start>35</start>
      <end>36</end>
      <status>modified</status>
      <modifiedWord>：</modifiedWord>
      <trackRevisions>false</trackRevisions>
    </reviewItem>
    <reviewItem>
      <errorID>5e58f8e8-8383-4ef1-9af1-8ad114ca5035</errorID>
      <errorWord>,</errorWord>
      <group>L1_Format</group>
      <groupName>格式问题</groupName>
      <ability>L2_HalfPunc_CN</ability>
      <abilityName>全半角检查</abilityName>
      <candidateList>
        <item>，</item>
      </candidateList>
      <explain>文本全半角错误。</explain>
      <paraID>2C2A314A</paraID>
      <start>22</start>
      <end>23</end>
      <status>modified</status>
      <modifiedWord>，</modifiedWord>
      <trackRevisions>false</trackRevisions>
    </reviewItem>
    <reviewItem>
      <errorID>1ab162a6-459d-496a-acf9-ccfea65a396b</errorID>
      <errorWord>，</errorWord>
      <group>L1_Word</group>
      <groupName>字词问题</groupName>
      <ability>L2_Typo</ability>
      <abilityName>字词错误</abilityName>
      <candidateList>
        <item>，在</item>
      </candidateList>
      <explain/>
      <paraID>49EB2A18</paraID>
      <start>111</start>
      <end>113</end>
      <status>modified</status>
      <modifiedWord>，在</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0c9c1-7d49-4c41-82ed-e569cf45a2ba}">
  <ds:schemaRefs/>
</ds:datastoreItem>
</file>

<file path=customXml/itemProps2.xml><?xml version="1.0" encoding="utf-8"?>
<ds:datastoreItem xmlns:ds="http://schemas.openxmlformats.org/officeDocument/2006/customXml" ds:itemID="{837674F3-1D08-41AF-9068-4D3AEAD6BC86}">
  <ds:schemaRefs/>
</ds:datastoreItem>
</file>

<file path=docProps/app.xml><?xml version="1.0" encoding="utf-8"?>
<Properties xmlns="http://schemas.openxmlformats.org/officeDocument/2006/extended-properties" xmlns:vt="http://schemas.openxmlformats.org/officeDocument/2006/docPropsVTypes">
  <Template>Normal</Template>
  <Company>Company</Company>
  <Pages>18</Pages>
  <Words>4348</Words>
  <Characters>4754</Characters>
  <Lines>21</Lines>
  <Paragraphs>13</Paragraphs>
  <TotalTime>2</TotalTime>
  <ScaleCrop>false</ScaleCrop>
  <LinksUpToDate>false</LinksUpToDate>
  <CharactersWithSpaces>4804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2025-09-15T02:32:00Z</dcterms:created>
  <dc:creator>user</dc:creator>
  <cp:lastModifiedBy>苗琪玥</cp:lastModifiedBy>
  <cp:lastPrinted>2025-09-09T01:45:00Z</cp:lastPrinted>
  <dcterms:modified xsi:type="dcterms:W3CDTF">2026-09-14T01:15:24Z</dcterms:modified>
  <cp:revision>60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C0FEFB4C3B1F40DEB495A0AA0A295A7D</vt:lpwstr>
  </property>
  <property fmtid="{D5CDD505-2E9C-101B-9397-08002B2CF9AE}" pid="4" name="KSOTemplateDocerSaveRecord">
    <vt:lpwstr>eyJoZGlkIjoiNDMyZGVhNTA1MWY2NzJlZDY4MTIyODQ3ZDNiOTljN2YiLCJ1c2VySWQiOiIzNjYxNjkxODQifQ==</vt:lpwstr>
  </property>
</Properties>
</file>