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23A6A">
      <w:pPr>
        <w:pStyle w:val="8"/>
        <w:spacing w:before="93"/>
        <w:rPr>
          <w:rFonts w:hint="eastAsia" w:ascii="Times New Roman" w:eastAsia="方正小标宋简体"/>
          <w:kern w:val="2"/>
          <w:sz w:val="72"/>
          <w:szCs w:val="72"/>
        </w:rPr>
      </w:pPr>
      <w:bookmarkStart w:id="0" w:name="_Toc15377425"/>
      <w:bookmarkStart w:id="1" w:name="_Toc15377193"/>
      <w:bookmarkStart w:id="2" w:name="_Toc15396475"/>
      <w:bookmarkStart w:id="3" w:name="_Toc15396597"/>
      <w:bookmarkStart w:id="4" w:name="_Toc15306267"/>
      <w:bookmarkStart w:id="5" w:name="_Toc15378441"/>
    </w:p>
    <w:p w14:paraId="6FC0F243">
      <w:pPr>
        <w:pStyle w:val="8"/>
        <w:spacing w:before="93"/>
        <w:rPr>
          <w:rFonts w:ascii="Times New Roman" w:eastAsia="方正小标宋简体"/>
          <w:kern w:val="2"/>
          <w:sz w:val="72"/>
          <w:szCs w:val="72"/>
        </w:rPr>
      </w:pPr>
    </w:p>
    <w:p w14:paraId="0455BA87">
      <w:pPr>
        <w:pStyle w:val="8"/>
        <w:spacing w:before="93"/>
        <w:rPr>
          <w:rFonts w:hint="eastAsia" w:ascii="Times New Roman" w:eastAsia="方正小标宋简体"/>
          <w:kern w:val="2"/>
          <w:sz w:val="72"/>
          <w:szCs w:val="72"/>
        </w:rPr>
      </w:pPr>
    </w:p>
    <w:p w14:paraId="3452F25D">
      <w:pPr>
        <w:pStyle w:val="8"/>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w:t>
      </w:r>
      <w:r>
        <w:rPr>
          <w:rFonts w:hint="eastAsia" w:ascii="Times New Roman" w:eastAsia="方正小标宋简体"/>
          <w:kern w:val="2"/>
          <w:sz w:val="44"/>
          <w:szCs w:val="44"/>
          <w:lang w:eastAsia="zh-CN"/>
        </w:rPr>
        <w:t>攀枝花</w:t>
      </w:r>
      <w:r>
        <w:rPr>
          <w:rFonts w:hint="eastAsia" w:ascii="Times New Roman" w:eastAsia="方正小标宋简体"/>
          <w:kern w:val="2"/>
          <w:sz w:val="44"/>
          <w:szCs w:val="44"/>
        </w:rPr>
        <w:t>市</w:t>
      </w:r>
      <w:r>
        <w:rPr>
          <w:rFonts w:hint="eastAsia" w:ascii="Times New Roman" w:eastAsia="方正小标宋简体"/>
          <w:kern w:val="2"/>
          <w:sz w:val="44"/>
          <w:szCs w:val="44"/>
          <w:lang w:eastAsia="zh-CN"/>
        </w:rPr>
        <w:t>金沙国有林场</w:t>
      </w:r>
    </w:p>
    <w:p w14:paraId="6FD5A046">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6EC4A9F5">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bookmarkEnd w:id="0"/>
    <w:bookmarkEnd w:id="1"/>
    <w:bookmarkEnd w:id="2"/>
    <w:bookmarkEnd w:id="3"/>
    <w:bookmarkEnd w:id="4"/>
    <w:bookmarkEnd w:id="5"/>
    <w:p w14:paraId="328F1F11">
      <w:pPr>
        <w:pStyle w:val="8"/>
        <w:spacing w:before="93"/>
        <w:jc w:val="center"/>
        <w:rPr>
          <w:rFonts w:ascii="Times New Roman" w:eastAsia="方正小标宋简体"/>
          <w:kern w:val="2"/>
          <w:sz w:val="44"/>
          <w:szCs w:val="44"/>
        </w:rPr>
      </w:pPr>
    </w:p>
    <w:p w14:paraId="1A7CE583">
      <w:pPr>
        <w:pStyle w:val="8"/>
        <w:spacing w:before="93"/>
        <w:jc w:val="center"/>
        <w:rPr>
          <w:rFonts w:ascii="Times New Roman" w:eastAsia="方正小标宋简体"/>
          <w:kern w:val="2"/>
          <w:sz w:val="44"/>
          <w:szCs w:val="44"/>
        </w:rPr>
      </w:pPr>
    </w:p>
    <w:p w14:paraId="642EA70E">
      <w:pPr>
        <w:pStyle w:val="8"/>
        <w:spacing w:before="93"/>
        <w:jc w:val="center"/>
        <w:rPr>
          <w:rFonts w:ascii="Times New Roman" w:eastAsia="方正小标宋简体"/>
          <w:kern w:val="2"/>
          <w:sz w:val="44"/>
          <w:szCs w:val="44"/>
        </w:rPr>
      </w:pPr>
    </w:p>
    <w:p w14:paraId="6C77E08D">
      <w:pPr>
        <w:pStyle w:val="8"/>
        <w:spacing w:before="93"/>
        <w:jc w:val="center"/>
        <w:rPr>
          <w:rFonts w:ascii="Times New Roman" w:eastAsia="方正小标宋简体"/>
          <w:kern w:val="2"/>
          <w:sz w:val="44"/>
          <w:szCs w:val="44"/>
        </w:rPr>
      </w:pPr>
    </w:p>
    <w:p w14:paraId="6F70651F">
      <w:pPr>
        <w:pStyle w:val="8"/>
        <w:spacing w:before="93"/>
        <w:jc w:val="center"/>
        <w:rPr>
          <w:rFonts w:ascii="Times New Roman" w:eastAsia="方正小标宋简体"/>
          <w:kern w:val="2"/>
          <w:sz w:val="44"/>
          <w:szCs w:val="44"/>
        </w:rPr>
      </w:pPr>
      <w:bookmarkStart w:id="6" w:name="_Toc15396476"/>
      <w:bookmarkStart w:id="7" w:name="_Toc15377426"/>
      <w:bookmarkStart w:id="8" w:name="_Toc15396598"/>
      <w:bookmarkStart w:id="9" w:name="_Toc15377194"/>
      <w:bookmarkStart w:id="10" w:name="_Toc15378442"/>
      <w:r>
        <w:rPr>
          <w:rFonts w:hint="eastAsia" w:ascii="Times New Roman" w:eastAsia="方正小标宋简体"/>
          <w:kern w:val="2"/>
          <w:sz w:val="44"/>
          <w:szCs w:val="44"/>
        </w:rPr>
        <w:t>2025年度攀枝花市</w:t>
      </w:r>
      <w:bookmarkStart w:id="11" w:name="_Toc15306268"/>
      <w:r>
        <w:rPr>
          <w:rFonts w:hint="eastAsia" w:ascii="Times New Roman" w:eastAsia="方正小标宋简体"/>
          <w:kern w:val="2"/>
          <w:sz w:val="44"/>
          <w:szCs w:val="44"/>
          <w:lang w:eastAsia="zh-CN"/>
        </w:rPr>
        <w:t>金沙国有林场</w:t>
      </w:r>
      <w:r>
        <w:rPr>
          <w:rFonts w:hint="eastAsia" w:ascii="Times New Roman" w:eastAsia="方正小标宋简体"/>
          <w:kern w:val="2"/>
          <w:sz w:val="44"/>
          <w:szCs w:val="44"/>
        </w:rPr>
        <w:t>决算</w:t>
      </w:r>
      <w:bookmarkEnd w:id="6"/>
      <w:bookmarkEnd w:id="7"/>
      <w:bookmarkEnd w:id="8"/>
      <w:bookmarkEnd w:id="9"/>
      <w:bookmarkEnd w:id="10"/>
      <w:bookmarkEnd w:id="11"/>
    </w:p>
    <w:p w14:paraId="3543200B">
      <w:pPr>
        <w:widowControl/>
        <w:jc w:val="center"/>
        <w:rPr>
          <w:rFonts w:eastAsia="黑体"/>
          <w:sz w:val="48"/>
          <w:szCs w:val="48"/>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14:paraId="674E228D">
      <w:pPr>
        <w:widowControl/>
        <w:jc w:val="center"/>
        <w:rPr>
          <w:rFonts w:eastAsia="黑体"/>
          <w:sz w:val="48"/>
          <w:szCs w:val="48"/>
        </w:rPr>
      </w:pPr>
      <w:r>
        <w:rPr>
          <w:rFonts w:hint="eastAsia" w:eastAsia="黑体"/>
          <w:sz w:val="48"/>
          <w:szCs w:val="48"/>
        </w:rPr>
        <w:t>目录</w:t>
      </w:r>
    </w:p>
    <w:p w14:paraId="4402F444">
      <w:pPr>
        <w:widowControl/>
        <w:jc w:val="center"/>
        <w:rPr>
          <w:rFonts w:eastAsia="黑体" w:cstheme="minorBidi"/>
          <w:sz w:val="28"/>
          <w:szCs w:val="28"/>
        </w:rPr>
      </w:pPr>
    </w:p>
    <w:p w14:paraId="2E0915C3">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公开时间：2026年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ascii="Times New Roman" w:hAnsi="Times New Roman" w:eastAsia="仿宋_GB2312" w:cs="仿宋_GB2312"/>
          <w:sz w:val="32"/>
          <w:szCs w:val="32"/>
          <w:lang w:val="en-US" w:eastAsia="zh-CN"/>
        </w:rPr>
        <w:t>14</w:t>
      </w:r>
      <w:bookmarkStart w:id="71" w:name="_GoBack"/>
      <w:bookmarkEnd w:id="71"/>
      <w:r>
        <w:rPr>
          <w:rFonts w:hint="eastAsia" w:ascii="Times New Roman" w:hAnsi="Times New Roman" w:eastAsia="仿宋_GB2312" w:cs="仿宋_GB2312"/>
          <w:sz w:val="32"/>
          <w:szCs w:val="32"/>
        </w:rPr>
        <w:t xml:space="preserve"> 日</w:t>
      </w:r>
    </w:p>
    <w:p w14:paraId="6A74F0D7"/>
    <w:p w14:paraId="375FA7EA">
      <w:pPr>
        <w:pStyle w:val="13"/>
        <w:adjustRightInd w:val="0"/>
        <w:snapToGrid w:val="0"/>
        <w:spacing w:before="0" w:line="560" w:lineRule="exact"/>
        <w:jc w:val="left"/>
        <w:rPr>
          <w:rFonts w:hint="eastAsia" w:ascii="Times New Roman" w:hAnsi="Times New Roman" w:eastAsia="仿宋" w:cs="黑体"/>
          <w:sz w:val="32"/>
          <w:szCs w:val="32"/>
          <w:lang w:val="en-US" w:eastAsia="zh-CN"/>
        </w:rPr>
      </w:pPr>
      <w:r>
        <w:rPr>
          <w:rFonts w:hint="eastAsia" w:ascii="Times New Roman" w:hAnsi="Times New Roman" w:eastAsia="黑体" w:cs="黑体"/>
          <w:sz w:val="32"/>
          <w:szCs w:val="32"/>
        </w:rPr>
        <w:t xml:space="preserve">第一部分 </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概况</w:t>
      </w:r>
      <w:r>
        <w:rPr>
          <w:rFonts w:hint="eastAsia"/>
          <w:sz w:val="24"/>
        </w:rPr>
        <w:t>............................................</w:t>
      </w:r>
      <w:r>
        <w:rPr>
          <w:rFonts w:hint="eastAsia"/>
          <w:sz w:val="24"/>
          <w:lang w:val="en-US" w:eastAsia="zh-CN"/>
        </w:rPr>
        <w:t>1</w:t>
      </w:r>
    </w:p>
    <w:p w14:paraId="27BD3288">
      <w:pPr>
        <w:pStyle w:val="14"/>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一、</w:t>
      </w:r>
      <w:r>
        <w:rPr>
          <w:rFonts w:hint="eastAsia" w:eastAsia="仿宋_GB2312" w:cs="仿宋_GB2312"/>
          <w:sz w:val="32"/>
          <w:szCs w:val="32"/>
          <w:lang w:eastAsia="zh-CN"/>
        </w:rPr>
        <w:t>单位</w:t>
      </w:r>
      <w:r>
        <w:rPr>
          <w:rFonts w:hint="eastAsia" w:eastAsia="仿宋_GB2312" w:cs="仿宋_GB2312"/>
          <w:sz w:val="32"/>
          <w:szCs w:val="32"/>
        </w:rPr>
        <w:t>职责</w:t>
      </w:r>
      <w:r>
        <w:rPr>
          <w:rFonts w:hint="eastAsia"/>
          <w:sz w:val="24"/>
        </w:rPr>
        <w:t>...........................................................................................</w:t>
      </w:r>
      <w:r>
        <w:rPr>
          <w:rFonts w:hint="eastAsia"/>
          <w:sz w:val="24"/>
          <w:lang w:val="en-US" w:eastAsia="zh-CN"/>
        </w:rPr>
        <w:t>1</w:t>
      </w:r>
    </w:p>
    <w:p w14:paraId="6F0D258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r>
        <w:rPr>
          <w:rFonts w:hint="eastAsia"/>
          <w:sz w:val="24"/>
        </w:rPr>
        <w:t>...........................................................................................</w:t>
      </w:r>
      <w:r>
        <w:rPr>
          <w:rFonts w:hint="eastAsia"/>
          <w:sz w:val="24"/>
          <w:lang w:val="en-US" w:eastAsia="zh-CN"/>
        </w:rPr>
        <w:t>1</w:t>
      </w:r>
    </w:p>
    <w:p w14:paraId="27C9EC4C">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2025年度</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决算情况说明</w:t>
      </w:r>
      <w:r>
        <w:rPr>
          <w:rFonts w:hint="eastAsia"/>
          <w:sz w:val="24"/>
        </w:rPr>
        <w:t>......................</w:t>
      </w:r>
      <w:r>
        <w:rPr>
          <w:rFonts w:hint="eastAsia"/>
          <w:sz w:val="24"/>
          <w:lang w:val="en-US" w:eastAsia="zh-CN"/>
        </w:rPr>
        <w:t>2</w:t>
      </w:r>
    </w:p>
    <w:p w14:paraId="0755237D">
      <w:pPr>
        <w:pStyle w:val="14"/>
        <w:adjustRightInd w:val="0"/>
        <w:snapToGrid w:val="0"/>
        <w:spacing w:line="560" w:lineRule="exact"/>
        <w:ind w:left="0" w:leftChars="0" w:firstLine="640" w:firstLineChars="200"/>
        <w:jc w:val="left"/>
        <w:rPr>
          <w:rFonts w:hint="eastAsia" w:eastAsia="宋体" w:cs="仿宋_GB2312"/>
          <w:sz w:val="32"/>
          <w:szCs w:val="32"/>
          <w:lang w:val="en-US" w:eastAsia="zh-CN"/>
        </w:rPr>
      </w:pPr>
      <w:r>
        <w:rPr>
          <w:rFonts w:hint="eastAsia" w:eastAsia="仿宋_GB2312" w:cs="仿宋_GB2312"/>
          <w:sz w:val="32"/>
          <w:szCs w:val="32"/>
        </w:rPr>
        <w:t>一、收入支出决算总体情况说明</w:t>
      </w:r>
      <w:r>
        <w:rPr>
          <w:rFonts w:hint="eastAsia"/>
          <w:sz w:val="24"/>
        </w:rPr>
        <w:t>................................................</w:t>
      </w:r>
      <w:r>
        <w:rPr>
          <w:rFonts w:hint="eastAsia"/>
          <w:sz w:val="24"/>
          <w:lang w:val="en-US" w:eastAsia="zh-CN"/>
        </w:rPr>
        <w:t>2</w:t>
      </w:r>
    </w:p>
    <w:p w14:paraId="76717D5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r>
        <w:rPr>
          <w:rFonts w:hint="eastAsia"/>
          <w:sz w:val="24"/>
        </w:rPr>
        <w:t>......................................................................</w:t>
      </w:r>
      <w:r>
        <w:rPr>
          <w:rFonts w:hint="eastAsia"/>
          <w:sz w:val="24"/>
          <w:lang w:val="en-US" w:eastAsia="zh-CN"/>
        </w:rPr>
        <w:t>2</w:t>
      </w:r>
    </w:p>
    <w:p w14:paraId="27D10DC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r>
        <w:rPr>
          <w:rFonts w:hint="eastAsia"/>
          <w:sz w:val="24"/>
        </w:rPr>
        <w:t>......................................................................</w:t>
      </w:r>
      <w:r>
        <w:rPr>
          <w:rFonts w:hint="eastAsia"/>
          <w:sz w:val="24"/>
          <w:lang w:val="en-US" w:eastAsia="zh-CN"/>
        </w:rPr>
        <w:t>3</w:t>
      </w:r>
    </w:p>
    <w:p w14:paraId="541F8F4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r>
        <w:rPr>
          <w:rFonts w:hint="eastAsia"/>
          <w:sz w:val="24"/>
        </w:rPr>
        <w:t>...........................</w:t>
      </w:r>
      <w:r>
        <w:rPr>
          <w:rFonts w:hint="eastAsia"/>
          <w:sz w:val="24"/>
          <w:lang w:val="en-US" w:eastAsia="zh-CN"/>
        </w:rPr>
        <w:t>4</w:t>
      </w:r>
    </w:p>
    <w:p w14:paraId="0585D74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sz w:val="24"/>
        </w:rPr>
        <w:t>................</w:t>
      </w:r>
      <w:r>
        <w:rPr>
          <w:rFonts w:hint="eastAsia"/>
          <w:sz w:val="24"/>
          <w:lang w:val="en-US" w:eastAsia="zh-CN"/>
        </w:rPr>
        <w:t xml:space="preserve"> 4</w:t>
      </w:r>
    </w:p>
    <w:p w14:paraId="08C09C8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eastAsia="zh-CN"/>
        </w:rPr>
        <w:t>……</w:t>
      </w:r>
      <w:r>
        <w:rPr>
          <w:rFonts w:hint="eastAsia"/>
          <w:sz w:val="24"/>
          <w:lang w:val="en-US" w:eastAsia="zh-CN"/>
        </w:rPr>
        <w:t xml:space="preserve"> 7</w:t>
      </w:r>
    </w:p>
    <w:p w14:paraId="680F426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r>
        <w:rPr>
          <w:rFonts w:hint="eastAsia"/>
          <w:sz w:val="24"/>
        </w:rPr>
        <w:t>................</w:t>
      </w:r>
      <w:r>
        <w:rPr>
          <w:rFonts w:hint="eastAsia"/>
          <w:sz w:val="24"/>
          <w:lang w:val="en-US" w:eastAsia="zh-CN"/>
        </w:rPr>
        <w:t xml:space="preserve"> 7</w:t>
      </w:r>
    </w:p>
    <w:p w14:paraId="7F46546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r>
        <w:rPr>
          <w:rFonts w:hint="eastAsia"/>
          <w:sz w:val="24"/>
        </w:rPr>
        <w:t>.................................</w:t>
      </w:r>
      <w:r>
        <w:rPr>
          <w:rFonts w:hint="eastAsia"/>
          <w:sz w:val="24"/>
          <w:lang w:val="en-US" w:eastAsia="zh-CN"/>
        </w:rPr>
        <w:t>9</w:t>
      </w:r>
    </w:p>
    <w:p w14:paraId="417C467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r>
        <w:rPr>
          <w:rFonts w:hint="eastAsia"/>
          <w:sz w:val="24"/>
        </w:rPr>
        <w:t>...........................</w:t>
      </w:r>
      <w:r>
        <w:rPr>
          <w:rFonts w:hint="eastAsia"/>
          <w:sz w:val="24"/>
          <w:lang w:val="en-US" w:eastAsia="zh-CN"/>
        </w:rPr>
        <w:t>9</w:t>
      </w:r>
    </w:p>
    <w:p w14:paraId="46EF06D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r>
        <w:rPr>
          <w:rFonts w:hint="eastAsia"/>
          <w:sz w:val="24"/>
        </w:rPr>
        <w:t>......................................................</w:t>
      </w:r>
      <w:r>
        <w:rPr>
          <w:rFonts w:hint="eastAsia"/>
          <w:sz w:val="24"/>
          <w:lang w:val="en-US" w:eastAsia="zh-CN"/>
        </w:rPr>
        <w:t>9</w:t>
      </w:r>
    </w:p>
    <w:p w14:paraId="1A12A61B">
      <w:pPr>
        <w:pStyle w:val="13"/>
        <w:adjustRightInd w:val="0"/>
        <w:snapToGrid w:val="0"/>
        <w:spacing w:before="0" w:line="56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第三部分 名词解释</w:t>
      </w:r>
      <w:r>
        <w:rPr>
          <w:rFonts w:hint="eastAsia"/>
          <w:sz w:val="24"/>
        </w:rPr>
        <w:t>............................................</w:t>
      </w:r>
      <w:r>
        <w:rPr>
          <w:rFonts w:hint="eastAsia"/>
          <w:sz w:val="24"/>
          <w:lang w:val="en-US" w:eastAsia="zh-CN"/>
        </w:rPr>
        <w:t>12</w:t>
      </w:r>
    </w:p>
    <w:p w14:paraId="54C3D75E">
      <w:pPr>
        <w:pStyle w:val="13"/>
        <w:adjustRightInd w:val="0"/>
        <w:snapToGrid w:val="0"/>
        <w:spacing w:before="0" w:line="56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第四部分 附件</w:t>
      </w:r>
      <w:r>
        <w:rPr>
          <w:rFonts w:hint="eastAsia"/>
          <w:sz w:val="24"/>
        </w:rPr>
        <w:t>.................................................</w:t>
      </w:r>
      <w:r>
        <w:rPr>
          <w:rFonts w:hint="eastAsia"/>
          <w:sz w:val="24"/>
          <w:lang w:val="en-US" w:eastAsia="zh-CN"/>
        </w:rPr>
        <w:t>16</w:t>
      </w:r>
      <w:r>
        <w:rPr>
          <w:rFonts w:hint="eastAsia" w:ascii="Times New Roman" w:hAnsi="Times New Roman" w:eastAsia="黑体" w:cs="黑体"/>
          <w:sz w:val="32"/>
          <w:szCs w:val="32"/>
        </w:rPr>
        <w:t>第五部分 附表</w:t>
      </w:r>
      <w:r>
        <w:rPr>
          <w:rFonts w:hint="eastAsia"/>
          <w:sz w:val="24"/>
        </w:rPr>
        <w:t>.................................................</w:t>
      </w:r>
      <w:r>
        <w:rPr>
          <w:rFonts w:hint="eastAsia"/>
          <w:sz w:val="24"/>
          <w:lang w:val="en-US" w:eastAsia="zh-CN"/>
        </w:rPr>
        <w:t>17</w:t>
      </w:r>
    </w:p>
    <w:p w14:paraId="610EF85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6216BD6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0E2C9CE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722508B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13E5A9F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4EDA834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28E627E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D7EB4F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34C1FF8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68DEA2C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542878B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03661CA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5F71375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3FC1BEF2">
      <w:pPr>
        <w:pStyle w:val="14"/>
        <w:adjustRightInd w:val="0"/>
        <w:snapToGrid w:val="0"/>
        <w:spacing w:line="560" w:lineRule="exact"/>
        <w:ind w:left="0" w:leftChars="0" w:firstLine="643" w:firstLineChars="200"/>
        <w:jc w:val="left"/>
        <w:rPr>
          <w:rFonts w:eastAsia="仿宋_GB2312" w:cs="仿宋_GB2312"/>
          <w:b/>
          <w:bCs/>
          <w:sz w:val="32"/>
          <w:szCs w:val="32"/>
        </w:rPr>
      </w:pPr>
    </w:p>
    <w:p w14:paraId="7309A312">
      <w:pPr>
        <w:pStyle w:val="5"/>
        <w:jc w:val="center"/>
        <w:rPr>
          <w:rFonts w:hint="eastAsia" w:eastAsia="方正小标宋简体" w:cs="方正小标宋简体"/>
          <w:b w:val="0"/>
        </w:rPr>
        <w:sectPr>
          <w:footerReference r:id="rId8" w:type="first"/>
          <w:footerReference r:id="rId7" w:type="default"/>
          <w:pgSz w:w="11906" w:h="16838"/>
          <w:pgMar w:top="1440" w:right="1800" w:bottom="1440" w:left="1800" w:header="851" w:footer="992" w:gutter="0"/>
          <w:pgNumType w:start="1"/>
          <w:cols w:space="425" w:num="1"/>
          <w:docGrid w:type="lines" w:linePitch="312" w:charSpace="0"/>
        </w:sectPr>
      </w:pPr>
      <w:bookmarkStart w:id="12" w:name="_Toc15396599"/>
      <w:bookmarkStart w:id="13" w:name="_Toc15377196"/>
    </w:p>
    <w:p w14:paraId="355C7E32">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lang w:val="en-US" w:eastAsia="zh-CN"/>
        </w:rPr>
        <w:t>单位</w:t>
      </w:r>
      <w:r>
        <w:rPr>
          <w:rStyle w:val="28"/>
          <w:rFonts w:hint="eastAsia" w:eastAsia="方正小标宋简体" w:cs="方正小标宋简体"/>
          <w:b w:val="0"/>
          <w:bCs w:val="0"/>
        </w:rPr>
        <w:t>概况</w:t>
      </w:r>
      <w:bookmarkEnd w:id="12"/>
      <w:bookmarkEnd w:id="13"/>
    </w:p>
    <w:p w14:paraId="7CC1917E">
      <w:pPr>
        <w:pStyle w:val="6"/>
        <w:numPr>
          <w:ilvl w:val="0"/>
          <w:numId w:val="0"/>
        </w:numPr>
        <w:ind w:firstLine="640" w:firstLineChars="200"/>
        <w:rPr>
          <w:rFonts w:hint="eastAsia" w:ascii="Times New Roman" w:hAnsi="Times New Roman" w:eastAsia="黑体"/>
          <w:b w:val="0"/>
        </w:rPr>
      </w:pPr>
      <w:r>
        <w:rPr>
          <w:rFonts w:hint="eastAsia" w:ascii="Times New Roman" w:hAnsi="Times New Roman" w:eastAsia="黑体"/>
          <w:b w:val="0"/>
          <w:lang w:eastAsia="zh-CN"/>
        </w:rPr>
        <w:t>一、单位</w:t>
      </w:r>
      <w:r>
        <w:rPr>
          <w:rFonts w:hint="eastAsia" w:ascii="Times New Roman" w:hAnsi="Times New Roman" w:eastAsia="黑体"/>
          <w:b w:val="0"/>
        </w:rPr>
        <w:t>职责</w:t>
      </w:r>
    </w:p>
    <w:p w14:paraId="7A87AEB7">
      <w:pPr>
        <w:numPr>
          <w:ilvl w:val="0"/>
          <w:numId w:val="0"/>
        </w:numPr>
        <w:ind w:firstLine="640" w:firstLineChars="200"/>
      </w:pPr>
      <w:r>
        <w:rPr>
          <w:rFonts w:hint="eastAsia" w:ascii="仿宋" w:hAnsi="仿宋" w:eastAsia="仿宋" w:cs="仿宋"/>
          <w:bCs/>
          <w:sz w:val="32"/>
          <w:szCs w:val="32"/>
        </w:rPr>
        <w:t>攀枝花市金沙国有林场为攀枝花市林业局所属二级</w:t>
      </w:r>
      <w:r>
        <w:rPr>
          <w:rFonts w:hint="eastAsia" w:ascii="仿宋" w:hAnsi="仿宋" w:eastAsia="仿宋" w:cs="仿宋"/>
          <w:bCs/>
          <w:spacing w:val="14"/>
          <w:sz w:val="32"/>
          <w:szCs w:val="32"/>
        </w:rPr>
        <w:t>预算单位，单位性质</w:t>
      </w:r>
      <w:r>
        <w:rPr>
          <w:rFonts w:hint="eastAsia" w:ascii="仿宋" w:hAnsi="仿宋" w:eastAsia="仿宋" w:cs="仿宋"/>
          <w:bCs/>
          <w:sz w:val="32"/>
          <w:szCs w:val="32"/>
        </w:rPr>
        <w:t>为公益二类事业单位，</w:t>
      </w:r>
      <w:r>
        <w:rPr>
          <w:rFonts w:hint="default" w:ascii="Times New Roman" w:hAnsi="Times New Roman" w:eastAsia="仿宋" w:cs="Times New Roman"/>
          <w:sz w:val="32"/>
          <w:szCs w:val="32"/>
        </w:rPr>
        <w:t>成立于2018年1月31</w:t>
      </w:r>
      <w:r>
        <w:rPr>
          <w:rFonts w:hint="default" w:ascii="Times New Roman" w:hAnsi="Times New Roman" w:eastAsia="仿宋" w:cs="Times New Roman"/>
          <w:sz w:val="32"/>
          <w:szCs w:val="32"/>
          <w:lang w:eastAsia="zh-CN"/>
        </w:rPr>
        <w:t>日</w:t>
      </w:r>
      <w:r>
        <w:rPr>
          <w:rFonts w:hint="default" w:ascii="Times New Roman" w:hAnsi="Times New Roman" w:eastAsia="仿宋" w:cs="Times New Roman"/>
          <w:sz w:val="32"/>
          <w:szCs w:val="32"/>
        </w:rPr>
        <w:t>，由原攀枝花市国营林场总场所属的</w:t>
      </w:r>
      <w:r>
        <w:rPr>
          <w:rFonts w:hint="eastAsia" w:ascii="仿宋" w:hAnsi="仿宋" w:eastAsia="仿宋" w:cs="仿宋"/>
          <w:sz w:val="32"/>
          <w:szCs w:val="32"/>
        </w:rPr>
        <w:t>同德林场、岔河林场、平地林场、苗木场四家单位整合组建而成。主要</w:t>
      </w:r>
      <w:r>
        <w:rPr>
          <w:rFonts w:hint="eastAsia" w:ascii="仿宋" w:hAnsi="仿宋" w:eastAsia="仿宋" w:cs="仿宋"/>
          <w:sz w:val="32"/>
          <w:szCs w:val="32"/>
          <w:lang w:eastAsia="zh-CN"/>
        </w:rPr>
        <w:t>从事</w:t>
      </w:r>
      <w:r>
        <w:rPr>
          <w:rFonts w:hint="eastAsia" w:ascii="仿宋" w:hAnsi="仿宋" w:eastAsia="仿宋" w:cs="仿宋"/>
          <w:sz w:val="32"/>
          <w:szCs w:val="32"/>
        </w:rPr>
        <w:t>森林资源培育和保护，国有森林管护，市区视野区主要景观绿地建设，干热河谷生态修复</w:t>
      </w:r>
      <w:r>
        <w:rPr>
          <w:rFonts w:hint="eastAsia" w:ascii="仿宋" w:hAnsi="仿宋" w:eastAsia="仿宋" w:cs="仿宋"/>
          <w:sz w:val="32"/>
          <w:szCs w:val="32"/>
          <w:lang w:eastAsia="zh-CN"/>
        </w:rPr>
        <w:t>，</w:t>
      </w:r>
      <w:r>
        <w:rPr>
          <w:rFonts w:hint="eastAsia" w:ascii="仿宋" w:hAnsi="仿宋" w:eastAsia="仿宋" w:cs="仿宋"/>
          <w:sz w:val="32"/>
          <w:szCs w:val="32"/>
        </w:rPr>
        <w:t>生态建设保障性苗木培育</w:t>
      </w:r>
      <w:r>
        <w:rPr>
          <w:rFonts w:hint="eastAsia" w:ascii="仿宋" w:hAnsi="仿宋" w:eastAsia="仿宋" w:cs="仿宋"/>
          <w:sz w:val="32"/>
          <w:szCs w:val="32"/>
          <w:lang w:eastAsia="zh-CN"/>
        </w:rPr>
        <w:t>等工作</w:t>
      </w:r>
      <w:r>
        <w:rPr>
          <w:rFonts w:hint="eastAsia" w:ascii="仿宋" w:hAnsi="仿宋" w:eastAsia="仿宋" w:cs="仿宋"/>
          <w:sz w:val="32"/>
          <w:szCs w:val="32"/>
        </w:rPr>
        <w:t>。</w:t>
      </w:r>
    </w:p>
    <w:p w14:paraId="508C37D4">
      <w:pPr>
        <w:pStyle w:val="6"/>
        <w:ind w:firstLine="640" w:firstLineChars="200"/>
        <w:rPr>
          <w:rStyle w:val="29"/>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14:paraId="45F3DE6D">
      <w:pPr>
        <w:pStyle w:val="8"/>
        <w:numPr>
          <w:ilvl w:val="0"/>
          <w:numId w:val="0"/>
        </w:numPr>
        <w:adjustRightInd w:val="0"/>
        <w:snapToGrid w:val="0"/>
        <w:spacing w:before="93" w:line="600" w:lineRule="exact"/>
        <w:ind w:firstLine="640" w:firstLineChars="200"/>
        <w:outlineLvl w:val="2"/>
        <w:rPr>
          <w:rFonts w:hint="default" w:ascii="Times New Roman" w:hAnsi="Times New Roman" w:cs="Times New Roman"/>
          <w:sz w:val="32"/>
          <w:szCs w:val="32"/>
        </w:rPr>
      </w:pPr>
      <w:bookmarkStart w:id="16" w:name="_Toc15377432"/>
      <w:bookmarkStart w:id="17" w:name="_Toc15306275"/>
      <w:bookmarkStart w:id="18" w:name="_Toc15378448"/>
      <w:bookmarkStart w:id="19" w:name="_Toc15377201"/>
      <w:r>
        <w:rPr>
          <w:rFonts w:hint="default" w:ascii="Times New Roman" w:hAnsi="Times New Roman" w:eastAsia="仿宋" w:cs="Times New Roman"/>
          <w:bCs/>
          <w:sz w:val="32"/>
          <w:szCs w:val="32"/>
        </w:rPr>
        <w:t>攀枝花市</w:t>
      </w:r>
      <w:r>
        <w:rPr>
          <w:rFonts w:hint="default" w:ascii="Times New Roman" w:hAnsi="Times New Roman" w:eastAsia="仿宋" w:cs="Times New Roman"/>
          <w:sz w:val="32"/>
          <w:szCs w:val="32"/>
        </w:rPr>
        <w:t>金沙林场机关现设</w:t>
      </w:r>
      <w:r>
        <w:rPr>
          <w:rFonts w:hint="eastAsia" w:ascii="Times New Roman" w:eastAsia="仿宋" w:cs="Times New Roman"/>
          <w:sz w:val="32"/>
          <w:szCs w:val="32"/>
          <w:lang w:eastAsia="zh-CN"/>
        </w:rPr>
        <w:t>八</w:t>
      </w:r>
      <w:r>
        <w:rPr>
          <w:rFonts w:hint="default" w:ascii="Times New Roman" w:hAnsi="Times New Roman" w:eastAsia="仿宋" w:cs="Times New Roman"/>
          <w:sz w:val="32"/>
          <w:szCs w:val="32"/>
        </w:rPr>
        <w:t>个科室，其中包括：</w:t>
      </w:r>
      <w:r>
        <w:rPr>
          <w:rFonts w:hint="eastAsia" w:ascii="Times New Roman" w:hAnsi="Times New Roman" w:eastAsia="仿宋" w:cs="Times New Roman"/>
          <w:sz w:val="32"/>
          <w:szCs w:val="32"/>
        </w:rPr>
        <w:t>党群工作科、综合办公室、计划财务科、劳动人事科、造林绿化科、资源保护科、产业发展科、种苗科</w:t>
      </w:r>
      <w:r>
        <w:rPr>
          <w:rFonts w:hint="default" w:ascii="Times New Roman" w:hAnsi="Times New Roman" w:eastAsia="仿宋" w:cs="Times New Roman"/>
          <w:sz w:val="32"/>
          <w:szCs w:val="32"/>
        </w:rPr>
        <w:t>。下设</w:t>
      </w:r>
      <w:r>
        <w:rPr>
          <w:rFonts w:hint="eastAsia" w:ascii="Times New Roman" w:eastAsia="仿宋" w:cs="Times New Roman"/>
          <w:sz w:val="32"/>
          <w:szCs w:val="32"/>
          <w:lang w:eastAsia="zh-CN"/>
        </w:rPr>
        <w:t>四</w:t>
      </w:r>
      <w:r>
        <w:rPr>
          <w:rFonts w:hint="default" w:ascii="Times New Roman" w:hAnsi="Times New Roman" w:eastAsia="仿宋" w:cs="Times New Roman"/>
          <w:sz w:val="32"/>
          <w:szCs w:val="32"/>
        </w:rPr>
        <w:t>个管护站，分别是岔河管护站、同德管护站、平地管护站、沙沟管护站。</w:t>
      </w:r>
      <w:r>
        <w:rPr>
          <w:rFonts w:hint="default" w:ascii="Times New Roman" w:hAnsi="Times New Roman" w:eastAsia="仿宋" w:cs="Times New Roman"/>
          <w:sz w:val="32"/>
          <w:szCs w:val="32"/>
          <w:lang w:eastAsia="zh-CN"/>
        </w:rPr>
        <w:t>事业编制</w:t>
      </w:r>
      <w:r>
        <w:rPr>
          <w:rFonts w:hint="default" w:ascii="Times New Roman" w:hAnsi="Times New Roman" w:eastAsia="仿宋" w:cs="Times New Roman"/>
          <w:sz w:val="32"/>
          <w:szCs w:val="32"/>
          <w:lang w:val="en-US" w:eastAsia="zh-CN"/>
        </w:rPr>
        <w:t>139人，实有110人。</w:t>
      </w:r>
      <w:bookmarkEnd w:id="16"/>
      <w:bookmarkEnd w:id="17"/>
      <w:bookmarkEnd w:id="18"/>
      <w:bookmarkEnd w:id="19"/>
    </w:p>
    <w:p w14:paraId="2DB973AB">
      <w:pPr>
        <w:pStyle w:val="8"/>
        <w:adjustRightInd w:val="0"/>
        <w:snapToGrid w:val="0"/>
        <w:spacing w:before="93" w:line="600" w:lineRule="exact"/>
        <w:ind w:firstLine="1120" w:firstLineChars="350"/>
        <w:rPr>
          <w:rFonts w:ascii="Times New Roman" w:cs="仿宋_GB2312"/>
          <w:sz w:val="32"/>
          <w:szCs w:val="32"/>
        </w:rPr>
      </w:pPr>
    </w:p>
    <w:p w14:paraId="44F6EEE7">
      <w:pPr>
        <w:widowControl/>
        <w:jc w:val="left"/>
        <w:rPr>
          <w:rFonts w:eastAsia="仿宋"/>
          <w:kern w:val="0"/>
          <w:sz w:val="32"/>
          <w:szCs w:val="32"/>
        </w:rPr>
      </w:pPr>
      <w:r>
        <w:rPr>
          <w:rFonts w:eastAsia="仿宋"/>
          <w:sz w:val="32"/>
          <w:szCs w:val="32"/>
        </w:rPr>
        <w:br w:type="page"/>
      </w:r>
    </w:p>
    <w:p w14:paraId="6A9924B3">
      <w:pPr>
        <w:pStyle w:val="5"/>
        <w:jc w:val="center"/>
        <w:rPr>
          <w:rFonts w:eastAsia="方正小标宋简体" w:cs="方正小标宋简体"/>
          <w:b w:val="0"/>
        </w:rPr>
      </w:pPr>
      <w:bookmarkStart w:id="20" w:name="_Toc15396602"/>
      <w:bookmarkStart w:id="21" w:name="_Toc15377204"/>
      <w:r>
        <w:rPr>
          <w:rFonts w:hint="eastAsia" w:eastAsia="方正小标宋简体" w:cs="方正小标宋简体"/>
          <w:b w:val="0"/>
        </w:rPr>
        <w:t>第二部分  2025年度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20"/>
      <w:bookmarkEnd w:id="21"/>
    </w:p>
    <w:p w14:paraId="63251F1C">
      <w:pPr>
        <w:pStyle w:val="27"/>
        <w:spacing w:line="600" w:lineRule="exact"/>
        <w:ind w:firstLine="640"/>
        <w:outlineLvl w:val="1"/>
        <w:rPr>
          <w:rStyle w:val="29"/>
          <w:rFonts w:ascii="Times New Roman" w:hAnsi="Times New Roman" w:eastAsia="黑体"/>
          <w:b w:val="0"/>
        </w:rPr>
      </w:pPr>
      <w:bookmarkStart w:id="22" w:name="_Toc15396603"/>
      <w:bookmarkStart w:id="23"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22"/>
      <w:bookmarkEnd w:id="23"/>
    </w:p>
    <w:p w14:paraId="1A56279F">
      <w:pPr>
        <w:snapToGrid w:val="0"/>
        <w:spacing w:line="520" w:lineRule="exact"/>
        <w:ind w:firstLine="640" w:firstLineChars="200"/>
        <w:rPr>
          <w:rFonts w:hint="default" w:ascii="Times New Roman" w:hAnsi="Times New Roman" w:eastAsia="仿宋_GB2312" w:cs="Times New Roman"/>
          <w:sz w:val="32"/>
          <w:szCs w:val="32"/>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3514.25</w:t>
      </w:r>
      <w:r>
        <w:rPr>
          <w:rFonts w:hint="eastAsia" w:eastAsia="仿宋_GB2312" w:cs="仿宋_GB2312"/>
          <w:sz w:val="32"/>
          <w:szCs w:val="32"/>
        </w:rPr>
        <w:t>万元。与上年度相比，</w:t>
      </w:r>
      <w:r>
        <w:rPr>
          <w:rFonts w:hint="eastAsia" w:ascii="仿宋" w:hAnsi="仿宋" w:eastAsia="仿宋"/>
          <w:sz w:val="32"/>
          <w:szCs w:val="32"/>
        </w:rPr>
        <w:t>收入</w:t>
      </w:r>
      <w:r>
        <w:rPr>
          <w:rFonts w:hint="eastAsia" w:ascii="仿宋" w:hAnsi="仿宋" w:eastAsia="仿宋"/>
          <w:sz w:val="32"/>
          <w:szCs w:val="32"/>
          <w:lang w:eastAsia="zh-CN"/>
        </w:rPr>
        <w:t>增加</w:t>
      </w:r>
      <w:r>
        <w:rPr>
          <w:rFonts w:hint="default" w:ascii="Times New Roman" w:hAnsi="Times New Roman" w:eastAsia="仿宋" w:cs="Times New Roman"/>
          <w:sz w:val="32"/>
          <w:szCs w:val="32"/>
          <w:lang w:val="en-US" w:eastAsia="zh-CN"/>
        </w:rPr>
        <w:t>41.07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highlight w:val="none"/>
          <w:lang w:eastAsia="zh-CN"/>
        </w:rPr>
        <w:t>增长</w:t>
      </w:r>
      <w:r>
        <w:rPr>
          <w:rFonts w:hint="default" w:ascii="Times New Roman" w:hAnsi="Times New Roman" w:eastAsia="仿宋" w:cs="Times New Roman"/>
          <w:sz w:val="32"/>
          <w:szCs w:val="32"/>
          <w:highlight w:val="none"/>
          <w:lang w:val="en-US" w:eastAsia="zh-CN"/>
        </w:rPr>
        <w:t>1.2</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rPr>
        <w:t>支出</w:t>
      </w:r>
      <w:r>
        <w:rPr>
          <w:rFonts w:hint="default" w:ascii="Times New Roman" w:hAnsi="Times New Roman" w:eastAsia="仿宋" w:cs="Times New Roman"/>
          <w:sz w:val="32"/>
          <w:szCs w:val="32"/>
          <w:lang w:eastAsia="zh-CN"/>
        </w:rPr>
        <w:t>增加</w:t>
      </w:r>
      <w:r>
        <w:rPr>
          <w:rFonts w:hint="default" w:ascii="Times New Roman" w:hAnsi="Times New Roman" w:eastAsia="仿宋" w:cs="Times New Roman"/>
          <w:sz w:val="32"/>
          <w:szCs w:val="32"/>
          <w:lang w:val="en-US" w:eastAsia="zh-CN"/>
        </w:rPr>
        <w:t>41.07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highlight w:val="none"/>
          <w:lang w:eastAsia="zh-CN"/>
        </w:rPr>
        <w:t>增长</w:t>
      </w:r>
      <w:r>
        <w:rPr>
          <w:rFonts w:hint="default" w:ascii="Times New Roman" w:hAnsi="Times New Roman" w:eastAsia="仿宋" w:cs="Times New Roman"/>
          <w:sz w:val="32"/>
          <w:szCs w:val="32"/>
          <w:highlight w:val="none"/>
          <w:lang w:val="en-US" w:eastAsia="zh-CN"/>
        </w:rPr>
        <w:t>1.2</w:t>
      </w:r>
      <w:r>
        <w:rPr>
          <w:rFonts w:hint="default" w:ascii="Times New Roman" w:hAnsi="Times New Roman" w:eastAsia="仿宋" w:cs="Times New Roman"/>
          <w:sz w:val="32"/>
          <w:szCs w:val="32"/>
          <w:highlight w:val="none"/>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color w:val="auto"/>
          <w:sz w:val="32"/>
          <w:szCs w:val="32"/>
        </w:rPr>
        <w:t>主要变动原因是</w:t>
      </w:r>
      <w:r>
        <w:rPr>
          <w:rFonts w:hint="default" w:ascii="Times New Roman" w:hAnsi="Times New Roman" w:eastAsia="仿宋_GB2312" w:cs="Times New Roman"/>
          <w:sz w:val="32"/>
          <w:szCs w:val="32"/>
        </w:rPr>
        <w:t>人员经费支出金额增加61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1万</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（公用经费</w:t>
      </w:r>
      <w:r>
        <w:rPr>
          <w:rFonts w:hint="default" w:ascii="Times New Roman" w:hAnsi="Times New Roman" w:eastAsia="仿宋_GB2312" w:cs="Times New Roman"/>
          <w:sz w:val="32"/>
          <w:szCs w:val="32"/>
        </w:rPr>
        <w:t>支出金额增加</w:t>
      </w:r>
      <w:r>
        <w:rPr>
          <w:rFonts w:hint="default" w:ascii="Times New Roman" w:hAnsi="Times New Roman" w:eastAsia="仿宋_GB2312" w:cs="Times New Roman"/>
          <w:sz w:val="32"/>
          <w:szCs w:val="32"/>
          <w:lang w:val="en-US" w:eastAsia="zh-CN"/>
        </w:rPr>
        <w:t>2.8万元，</w:t>
      </w:r>
      <w:r>
        <w:rPr>
          <w:rFonts w:hint="default" w:ascii="Times New Roman" w:hAnsi="Times New Roman" w:eastAsia="仿宋_GB2312" w:cs="Times New Roman"/>
          <w:sz w:val="32"/>
          <w:szCs w:val="32"/>
        </w:rPr>
        <w:t>项目支出金额减少23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4万</w:t>
      </w:r>
      <w:r>
        <w:rPr>
          <w:rFonts w:hint="default" w:ascii="Times New Roman" w:hAnsi="Times New Roman" w:eastAsia="仿宋_GB2312" w:cs="Times New Roman"/>
          <w:sz w:val="32"/>
          <w:szCs w:val="32"/>
        </w:rPr>
        <w:t>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t>
      </w:r>
    </w:p>
    <w:p w14:paraId="5B199DFA">
      <w:pPr>
        <w:pStyle w:val="27"/>
        <w:spacing w:line="600" w:lineRule="exact"/>
        <w:ind w:firstLine="640"/>
        <w:outlineLvl w:val="1"/>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614045</wp:posOffset>
            </wp:positionH>
            <wp:positionV relativeFrom="paragraph">
              <wp:posOffset>157480</wp:posOffset>
            </wp:positionV>
            <wp:extent cx="4369435" cy="3322320"/>
            <wp:effectExtent l="4445" t="4445" r="7620" b="6985"/>
            <wp:wrapTopAndBottom/>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lang w:val="en-US" w:eastAsia="zh-CN"/>
        </w:rPr>
        <w:t xml:space="preserve">          </w:t>
      </w:r>
      <w:r>
        <w:rPr>
          <w:rFonts w:hint="eastAsia" w:eastAsia="仿宋_GB2312" w:cs="仿宋_GB2312"/>
          <w:sz w:val="32"/>
          <w:szCs w:val="32"/>
        </w:rPr>
        <w:t>图1：收入、支出决算总计变动情况图</w:t>
      </w:r>
    </w:p>
    <w:p w14:paraId="18988A3B">
      <w:pPr>
        <w:pStyle w:val="27"/>
        <w:spacing w:line="600" w:lineRule="exact"/>
        <w:ind w:firstLine="640"/>
        <w:outlineLvl w:val="1"/>
        <w:rPr>
          <w:rFonts w:hint="eastAsia" w:eastAsia="黑体"/>
          <w:sz w:val="32"/>
          <w:szCs w:val="32"/>
        </w:rPr>
      </w:pPr>
      <w:bookmarkStart w:id="24" w:name="_Toc15377206"/>
      <w:bookmarkStart w:id="25" w:name="_Toc15396604"/>
    </w:p>
    <w:p w14:paraId="265BD8E2">
      <w:pPr>
        <w:pStyle w:val="27"/>
        <w:spacing w:line="600" w:lineRule="exact"/>
        <w:ind w:firstLine="640"/>
        <w:outlineLvl w:val="1"/>
        <w:rPr>
          <w:rFonts w:eastAsia="黑体"/>
          <w:sz w:val="32"/>
          <w:szCs w:val="32"/>
        </w:rPr>
      </w:pPr>
      <w:r>
        <w:rPr>
          <w:rFonts w:hint="eastAsia" w:eastAsia="黑体"/>
          <w:sz w:val="32"/>
          <w:szCs w:val="32"/>
        </w:rPr>
        <w:t>二、收入决算情况说明</w:t>
      </w:r>
      <w:bookmarkEnd w:id="24"/>
      <w:bookmarkEnd w:id="25"/>
    </w:p>
    <w:p w14:paraId="2D2CFD7A">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3514.25</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3514.25</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w:t>
      </w:r>
    </w:p>
    <w:p w14:paraId="049286D8">
      <w:pPr>
        <w:pStyle w:val="27"/>
        <w:spacing w:line="600" w:lineRule="exact"/>
        <w:ind w:firstLine="640"/>
        <w:outlineLvl w:val="1"/>
        <w:rPr>
          <w:rFonts w:hint="eastAsia" w:eastAsia="仿宋_GB2312" w:cs="仿宋_GB2312"/>
          <w:sz w:val="32"/>
          <w:szCs w:val="32"/>
        </w:rPr>
      </w:pPr>
    </w:p>
    <w:p w14:paraId="77249D9A">
      <w:pPr>
        <w:pStyle w:val="27"/>
        <w:spacing w:line="600" w:lineRule="exact"/>
        <w:ind w:firstLine="640"/>
        <w:outlineLvl w:val="1"/>
        <w:rPr>
          <w:rFonts w:hint="eastAsia" w:eastAsia="仿宋_GB2312" w:cs="仿宋_GB2312"/>
          <w:sz w:val="32"/>
          <w:szCs w:val="32"/>
        </w:rPr>
      </w:pPr>
    </w:p>
    <w:p w14:paraId="7FA47EE4">
      <w:pPr>
        <w:pStyle w:val="27"/>
        <w:spacing w:line="600" w:lineRule="exact"/>
        <w:ind w:firstLine="640"/>
        <w:outlineLvl w:val="1"/>
        <w:rPr>
          <w:rFonts w:hint="eastAsia" w:eastAsia="仿宋_GB2312" w:cs="仿宋_GB2312"/>
          <w:sz w:val="32"/>
          <w:szCs w:val="32"/>
        </w:rPr>
      </w:pPr>
      <w:r>
        <w:drawing>
          <wp:anchor distT="0" distB="0" distL="114300" distR="114300" simplePos="0" relativeHeight="251662336" behindDoc="0" locked="0" layoutInCell="1" allowOverlap="1">
            <wp:simplePos x="0" y="0"/>
            <wp:positionH relativeFrom="column">
              <wp:posOffset>814070</wp:posOffset>
            </wp:positionH>
            <wp:positionV relativeFrom="paragraph">
              <wp:posOffset>156845</wp:posOffset>
            </wp:positionV>
            <wp:extent cx="3672840" cy="2694940"/>
            <wp:effectExtent l="4445" t="4445" r="18415" b="571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529859D">
      <w:pPr>
        <w:pStyle w:val="27"/>
        <w:spacing w:line="600" w:lineRule="exact"/>
        <w:ind w:firstLine="640"/>
        <w:outlineLvl w:val="1"/>
        <w:rPr>
          <w:rFonts w:hint="eastAsia" w:eastAsia="仿宋_GB2312" w:cs="仿宋_GB2312"/>
          <w:sz w:val="32"/>
          <w:szCs w:val="32"/>
        </w:rPr>
      </w:pPr>
    </w:p>
    <w:p w14:paraId="262F8FDB">
      <w:pPr>
        <w:pStyle w:val="27"/>
        <w:spacing w:line="600" w:lineRule="exact"/>
        <w:ind w:firstLine="640"/>
        <w:outlineLvl w:val="1"/>
        <w:rPr>
          <w:rFonts w:hint="eastAsia" w:eastAsia="仿宋_GB2312" w:cs="仿宋_GB2312"/>
          <w:sz w:val="32"/>
          <w:szCs w:val="32"/>
        </w:rPr>
      </w:pPr>
    </w:p>
    <w:p w14:paraId="27D10393">
      <w:pPr>
        <w:pStyle w:val="27"/>
        <w:spacing w:line="600" w:lineRule="exact"/>
        <w:ind w:firstLine="640"/>
        <w:outlineLvl w:val="1"/>
        <w:rPr>
          <w:rFonts w:hint="eastAsia" w:eastAsia="仿宋_GB2312" w:cs="仿宋_GB2312"/>
          <w:sz w:val="32"/>
          <w:szCs w:val="32"/>
        </w:rPr>
      </w:pPr>
    </w:p>
    <w:p w14:paraId="0D02818C">
      <w:pPr>
        <w:pStyle w:val="27"/>
        <w:spacing w:line="600" w:lineRule="exact"/>
        <w:ind w:firstLine="640"/>
        <w:outlineLvl w:val="1"/>
        <w:rPr>
          <w:rFonts w:hint="eastAsia" w:eastAsia="仿宋_GB2312" w:cs="仿宋_GB2312"/>
          <w:sz w:val="32"/>
          <w:szCs w:val="32"/>
        </w:rPr>
      </w:pPr>
    </w:p>
    <w:p w14:paraId="0E7F158F">
      <w:pPr>
        <w:pStyle w:val="27"/>
        <w:spacing w:line="600" w:lineRule="exact"/>
        <w:ind w:firstLine="640"/>
        <w:outlineLvl w:val="1"/>
        <w:rPr>
          <w:rFonts w:hint="eastAsia" w:eastAsia="仿宋_GB2312" w:cs="仿宋_GB2312"/>
          <w:sz w:val="32"/>
          <w:szCs w:val="32"/>
        </w:rPr>
      </w:pPr>
    </w:p>
    <w:p w14:paraId="1009F967">
      <w:pPr>
        <w:pStyle w:val="27"/>
        <w:spacing w:line="600" w:lineRule="exact"/>
        <w:ind w:firstLine="2560" w:firstLineChars="800"/>
        <w:outlineLvl w:val="1"/>
        <w:rPr>
          <w:rFonts w:eastAsia="仿宋_GB2312" w:cs="仿宋_GB2312"/>
          <w:sz w:val="32"/>
          <w:szCs w:val="32"/>
        </w:rPr>
      </w:pPr>
      <w:r>
        <w:rPr>
          <w:rFonts w:hint="eastAsia" w:eastAsia="仿宋_GB2312" w:cs="仿宋_GB2312"/>
          <w:sz w:val="32"/>
          <w:szCs w:val="32"/>
        </w:rPr>
        <w:t>图2：收入决算结构图</w:t>
      </w:r>
    </w:p>
    <w:p w14:paraId="6CF02512">
      <w:pPr>
        <w:pStyle w:val="27"/>
        <w:spacing w:line="600" w:lineRule="exact"/>
        <w:ind w:firstLine="640"/>
        <w:outlineLvl w:val="1"/>
        <w:rPr>
          <w:rFonts w:hint="eastAsia" w:eastAsia="黑体"/>
          <w:sz w:val="32"/>
          <w:szCs w:val="32"/>
        </w:rPr>
      </w:pPr>
      <w:bookmarkStart w:id="26" w:name="_Toc15396605"/>
      <w:bookmarkStart w:id="27" w:name="_Toc15377207"/>
    </w:p>
    <w:p w14:paraId="326CE72A">
      <w:pPr>
        <w:pStyle w:val="27"/>
        <w:spacing w:line="600" w:lineRule="exact"/>
        <w:ind w:firstLine="640"/>
        <w:outlineLvl w:val="1"/>
        <w:rPr>
          <w:rStyle w:val="29"/>
          <w:rFonts w:ascii="Times New Roman" w:hAnsi="Times New Roman" w:eastAsia="黑体"/>
          <w:b w:val="0"/>
        </w:rPr>
      </w:pPr>
      <w:r>
        <w:rPr>
          <w:rFonts w:hint="eastAsia" w:eastAsia="黑体"/>
          <w:sz w:val="32"/>
          <w:szCs w:val="32"/>
        </w:rPr>
        <w:t>三、支</w:t>
      </w:r>
      <w:r>
        <w:rPr>
          <w:rStyle w:val="29"/>
          <w:rFonts w:hint="eastAsia" w:ascii="Times New Roman" w:hAnsi="Times New Roman" w:eastAsia="黑体"/>
          <w:b w:val="0"/>
        </w:rPr>
        <w:t>出决算情况说明</w:t>
      </w:r>
      <w:bookmarkEnd w:id="26"/>
      <w:bookmarkEnd w:id="27"/>
    </w:p>
    <w:p w14:paraId="64C56E2B">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3514.25</w:t>
      </w:r>
      <w:r>
        <w:rPr>
          <w:rFonts w:hint="eastAsia" w:eastAsia="仿宋_GB2312" w:cs="仿宋_GB2312"/>
          <w:sz w:val="32"/>
          <w:szCs w:val="32"/>
        </w:rPr>
        <w:t>万元，其中：基本支出2604.5</w:t>
      </w:r>
      <w:r>
        <w:rPr>
          <w:rFonts w:hint="eastAsia" w:eastAsia="仿宋_GB2312" w:cs="仿宋_GB2312"/>
          <w:sz w:val="32"/>
          <w:szCs w:val="32"/>
          <w:lang w:val="en-US" w:eastAsia="zh-CN"/>
        </w:rPr>
        <w:t>3</w:t>
      </w:r>
      <w:r>
        <w:rPr>
          <w:rFonts w:hint="eastAsia" w:eastAsia="仿宋_GB2312" w:cs="仿宋_GB2312"/>
          <w:sz w:val="32"/>
          <w:szCs w:val="32"/>
        </w:rPr>
        <w:t>万元，占</w:t>
      </w:r>
      <w:r>
        <w:rPr>
          <w:rFonts w:hint="eastAsia" w:eastAsia="仿宋_GB2312" w:cs="仿宋_GB2312"/>
          <w:sz w:val="32"/>
          <w:szCs w:val="32"/>
          <w:lang w:val="en-US" w:eastAsia="zh-CN"/>
        </w:rPr>
        <w:t>74.1</w:t>
      </w:r>
      <w:r>
        <w:rPr>
          <w:rFonts w:hint="eastAsia" w:eastAsia="仿宋_GB2312" w:cs="仿宋_GB2312"/>
          <w:sz w:val="32"/>
          <w:szCs w:val="32"/>
        </w:rPr>
        <w:t>%；项目支出909.72万元，占</w:t>
      </w:r>
      <w:r>
        <w:rPr>
          <w:rFonts w:hint="eastAsia" w:eastAsia="仿宋_GB2312" w:cs="仿宋_GB2312"/>
          <w:sz w:val="32"/>
          <w:szCs w:val="32"/>
          <w:lang w:val="en-US" w:eastAsia="zh-CN"/>
        </w:rPr>
        <w:t>25.9</w:t>
      </w:r>
      <w:r>
        <w:rPr>
          <w:rFonts w:hint="eastAsia" w:eastAsia="仿宋_GB2312" w:cs="仿宋_GB2312"/>
          <w:sz w:val="32"/>
          <w:szCs w:val="32"/>
        </w:rPr>
        <w:t>%。</w:t>
      </w:r>
    </w:p>
    <w:p w14:paraId="2CB47929">
      <w:pPr>
        <w:pStyle w:val="27"/>
        <w:spacing w:line="600" w:lineRule="exact"/>
        <w:ind w:firstLine="1680" w:firstLineChars="800"/>
        <w:outlineLvl w:val="1"/>
        <w:rPr>
          <w:rFonts w:hint="eastAsia" w:eastAsia="仿宋_GB2312" w:cs="仿宋_GB2312"/>
          <w:sz w:val="32"/>
          <w:szCs w:val="32"/>
        </w:rPr>
      </w:pPr>
      <w:r>
        <w:drawing>
          <wp:anchor distT="0" distB="0" distL="114300" distR="114300" simplePos="0" relativeHeight="251663360" behindDoc="0" locked="0" layoutInCell="1" allowOverlap="1">
            <wp:simplePos x="0" y="0"/>
            <wp:positionH relativeFrom="column">
              <wp:posOffset>833120</wp:posOffset>
            </wp:positionH>
            <wp:positionV relativeFrom="paragraph">
              <wp:posOffset>147320</wp:posOffset>
            </wp:positionV>
            <wp:extent cx="3749675" cy="2599055"/>
            <wp:effectExtent l="4445" t="4445" r="17780" b="6350"/>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3C84226">
      <w:pPr>
        <w:pStyle w:val="27"/>
        <w:spacing w:line="600" w:lineRule="exact"/>
        <w:ind w:firstLine="2560" w:firstLineChars="800"/>
        <w:outlineLvl w:val="1"/>
        <w:rPr>
          <w:rFonts w:hint="eastAsia" w:eastAsia="仿宋_GB2312" w:cs="仿宋_GB2312"/>
          <w:sz w:val="32"/>
          <w:szCs w:val="32"/>
        </w:rPr>
      </w:pPr>
    </w:p>
    <w:p w14:paraId="26DE5FE2">
      <w:pPr>
        <w:pStyle w:val="27"/>
        <w:spacing w:line="600" w:lineRule="exact"/>
        <w:ind w:firstLine="2560" w:firstLineChars="800"/>
        <w:outlineLvl w:val="1"/>
        <w:rPr>
          <w:rFonts w:hint="eastAsia" w:eastAsia="仿宋_GB2312" w:cs="仿宋_GB2312"/>
          <w:sz w:val="32"/>
          <w:szCs w:val="32"/>
        </w:rPr>
      </w:pPr>
    </w:p>
    <w:p w14:paraId="409C44D1">
      <w:pPr>
        <w:pStyle w:val="27"/>
        <w:spacing w:line="600" w:lineRule="exact"/>
        <w:ind w:firstLine="2560" w:firstLineChars="800"/>
        <w:outlineLvl w:val="1"/>
        <w:rPr>
          <w:rFonts w:hint="eastAsia" w:eastAsia="仿宋_GB2312" w:cs="仿宋_GB2312"/>
          <w:sz w:val="32"/>
          <w:szCs w:val="32"/>
        </w:rPr>
      </w:pPr>
    </w:p>
    <w:p w14:paraId="5461D73C">
      <w:pPr>
        <w:pStyle w:val="27"/>
        <w:spacing w:line="600" w:lineRule="exact"/>
        <w:ind w:firstLine="2560" w:firstLineChars="800"/>
        <w:outlineLvl w:val="1"/>
        <w:rPr>
          <w:rFonts w:hint="eastAsia" w:eastAsia="仿宋_GB2312" w:cs="仿宋_GB2312"/>
          <w:sz w:val="32"/>
          <w:szCs w:val="32"/>
        </w:rPr>
      </w:pPr>
    </w:p>
    <w:p w14:paraId="1056BEA6">
      <w:pPr>
        <w:pStyle w:val="27"/>
        <w:spacing w:line="600" w:lineRule="exact"/>
        <w:ind w:firstLine="2560" w:firstLineChars="800"/>
        <w:outlineLvl w:val="1"/>
        <w:rPr>
          <w:rFonts w:hint="eastAsia" w:eastAsia="仿宋_GB2312" w:cs="仿宋_GB2312"/>
          <w:sz w:val="32"/>
          <w:szCs w:val="32"/>
        </w:rPr>
      </w:pPr>
    </w:p>
    <w:p w14:paraId="3AB8BBD7">
      <w:pPr>
        <w:pStyle w:val="27"/>
        <w:tabs>
          <w:tab w:val="left" w:pos="1176"/>
        </w:tabs>
        <w:spacing w:line="600" w:lineRule="exact"/>
        <w:outlineLvl w:val="1"/>
        <w:rPr>
          <w:rFonts w:hint="eastAsia" w:eastAsia="仿宋_GB2312" w:cs="仿宋_GB2312"/>
          <w:sz w:val="32"/>
          <w:szCs w:val="32"/>
          <w:lang w:eastAsia="zh-CN"/>
        </w:rPr>
      </w:pPr>
    </w:p>
    <w:p w14:paraId="7DBF2E22">
      <w:pPr>
        <w:pStyle w:val="27"/>
        <w:tabs>
          <w:tab w:val="left" w:pos="1176"/>
        </w:tabs>
        <w:spacing w:line="600" w:lineRule="exact"/>
        <w:ind w:firstLine="2560" w:firstLineChars="800"/>
        <w:outlineLvl w:val="1"/>
        <w:rPr>
          <w:rFonts w:eastAsia="仿宋_GB2312" w:cs="仿宋_GB2312"/>
          <w:sz w:val="32"/>
          <w:szCs w:val="32"/>
        </w:rPr>
      </w:pPr>
      <w:r>
        <w:rPr>
          <w:rFonts w:hint="eastAsia" w:eastAsia="仿宋_GB2312" w:cs="仿宋_GB2312"/>
          <w:sz w:val="32"/>
          <w:szCs w:val="32"/>
          <w:lang w:eastAsia="zh-CN"/>
        </w:rPr>
        <w:t>图</w:t>
      </w:r>
      <w:r>
        <w:rPr>
          <w:rFonts w:hint="eastAsia" w:eastAsia="仿宋_GB2312" w:cs="仿宋_GB2312"/>
          <w:sz w:val="32"/>
          <w:szCs w:val="32"/>
        </w:rPr>
        <w:t>3：支出决算结构图</w:t>
      </w:r>
    </w:p>
    <w:p w14:paraId="5FEF6A8F">
      <w:pPr>
        <w:spacing w:line="600" w:lineRule="exact"/>
        <w:ind w:firstLine="640" w:firstLineChars="200"/>
        <w:outlineLvl w:val="1"/>
        <w:rPr>
          <w:rStyle w:val="29"/>
          <w:rFonts w:ascii="Times New Roman" w:hAnsi="Times New Roman" w:eastAsia="黑体"/>
          <w:b w:val="0"/>
        </w:rPr>
      </w:pPr>
      <w:bookmarkStart w:id="28" w:name="_Toc15377208"/>
      <w:bookmarkStart w:id="29"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8"/>
      <w:bookmarkEnd w:id="29"/>
    </w:p>
    <w:p w14:paraId="07BF888E">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3514.25</w:t>
      </w:r>
      <w:r>
        <w:rPr>
          <w:rFonts w:hint="eastAsia" w:eastAsia="仿宋_GB2312" w:cs="仿宋_GB2312"/>
          <w:sz w:val="32"/>
          <w:szCs w:val="32"/>
        </w:rPr>
        <w:t>万元。与上年度相比，</w:t>
      </w:r>
      <w:r>
        <w:rPr>
          <w:rFonts w:hint="default" w:ascii="Times New Roman" w:hAnsi="Times New Roman" w:eastAsia="仿宋_GB2312" w:cs="Times New Roman"/>
          <w:sz w:val="32"/>
          <w:szCs w:val="32"/>
        </w:rPr>
        <w:t>财政拨款</w:t>
      </w:r>
      <w:r>
        <w:rPr>
          <w:rFonts w:hint="default" w:ascii="Times New Roman" w:hAnsi="Times New Roman" w:eastAsia="仿宋" w:cs="Times New Roman"/>
          <w:sz w:val="32"/>
          <w:szCs w:val="32"/>
        </w:rPr>
        <w:t>收入</w:t>
      </w:r>
      <w:r>
        <w:rPr>
          <w:rFonts w:hint="default" w:ascii="Times New Roman" w:hAnsi="Times New Roman" w:eastAsia="仿宋" w:cs="Times New Roman"/>
          <w:sz w:val="32"/>
          <w:szCs w:val="32"/>
          <w:lang w:eastAsia="zh-CN"/>
        </w:rPr>
        <w:t>增加</w:t>
      </w:r>
      <w:r>
        <w:rPr>
          <w:rFonts w:hint="default" w:ascii="Times New Roman" w:hAnsi="Times New Roman" w:eastAsia="仿宋" w:cs="Times New Roman"/>
          <w:sz w:val="32"/>
          <w:szCs w:val="32"/>
          <w:lang w:val="en-US" w:eastAsia="zh-CN"/>
        </w:rPr>
        <w:t>41.07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highlight w:val="none"/>
          <w:lang w:eastAsia="zh-CN"/>
        </w:rPr>
        <w:t>增长</w:t>
      </w:r>
      <w:r>
        <w:rPr>
          <w:rFonts w:hint="default" w:ascii="Times New Roman" w:hAnsi="Times New Roman" w:eastAsia="仿宋" w:cs="Times New Roman"/>
          <w:sz w:val="32"/>
          <w:szCs w:val="32"/>
          <w:highlight w:val="none"/>
          <w:lang w:val="en-US" w:eastAsia="zh-CN"/>
        </w:rPr>
        <w:t>1.2</w:t>
      </w:r>
      <w:r>
        <w:rPr>
          <w:rFonts w:hint="default" w:ascii="Times New Roman" w:hAnsi="Times New Roman" w:eastAsia="仿宋" w:cs="Times New Roman"/>
          <w:sz w:val="32"/>
          <w:szCs w:val="32"/>
          <w:highlight w:val="none"/>
        </w:rPr>
        <w:t>%</w:t>
      </w:r>
      <w:r>
        <w:rPr>
          <w:rFonts w:hint="default" w:ascii="Times New Roman" w:hAnsi="Times New Roman" w:eastAsia="仿宋_GB2312" w:cs="Times New Roman"/>
          <w:sz w:val="32"/>
          <w:szCs w:val="32"/>
        </w:rPr>
        <w:t>，财政拨款</w:t>
      </w:r>
      <w:r>
        <w:rPr>
          <w:rFonts w:hint="default" w:ascii="Times New Roman" w:hAnsi="Times New Roman" w:eastAsia="仿宋" w:cs="Times New Roman"/>
          <w:sz w:val="32"/>
          <w:szCs w:val="32"/>
          <w:lang w:eastAsia="zh-CN"/>
        </w:rPr>
        <w:t>支出增加</w:t>
      </w:r>
      <w:r>
        <w:rPr>
          <w:rFonts w:hint="default" w:ascii="Times New Roman" w:hAnsi="Times New Roman" w:eastAsia="仿宋" w:cs="Times New Roman"/>
          <w:sz w:val="32"/>
          <w:szCs w:val="32"/>
          <w:lang w:val="en-US" w:eastAsia="zh-CN"/>
        </w:rPr>
        <w:t>41.07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highlight w:val="none"/>
          <w:lang w:eastAsia="zh-CN"/>
        </w:rPr>
        <w:t>增长</w:t>
      </w:r>
      <w:r>
        <w:rPr>
          <w:rFonts w:hint="default" w:ascii="Times New Roman" w:hAnsi="Times New Roman" w:eastAsia="仿宋" w:cs="Times New Roman"/>
          <w:sz w:val="32"/>
          <w:szCs w:val="32"/>
          <w:highlight w:val="none"/>
          <w:lang w:val="en-US" w:eastAsia="zh-CN"/>
        </w:rPr>
        <w:t>1.2</w:t>
      </w:r>
      <w:r>
        <w:rPr>
          <w:rFonts w:hint="default" w:ascii="Times New Roman" w:hAnsi="Times New Roman" w:eastAsia="仿宋" w:cs="Times New Roman"/>
          <w:sz w:val="32"/>
          <w:szCs w:val="32"/>
          <w:highlight w:val="none"/>
        </w:rPr>
        <w:t>%</w:t>
      </w:r>
      <w:r>
        <w:rPr>
          <w:rFonts w:hint="default" w:ascii="Times New Roman" w:hAnsi="Times New Roman" w:eastAsia="仿宋_GB2312" w:cs="Times New Roman"/>
          <w:sz w:val="32"/>
          <w:szCs w:val="32"/>
        </w:rPr>
        <w:t>。主要变动原因是人员经费支出金额</w:t>
      </w:r>
      <w:r>
        <w:rPr>
          <w:rFonts w:hint="eastAsia" w:ascii="仿宋_GB2312" w:hAnsi="仿宋" w:eastAsia="仿宋_GB2312"/>
          <w:sz w:val="32"/>
          <w:szCs w:val="32"/>
        </w:rPr>
        <w:t>增加</w:t>
      </w:r>
      <w:r>
        <w:rPr>
          <w:rFonts w:hint="eastAsia" w:ascii="仿宋_GB2312" w:hAnsi="仿宋" w:eastAsia="仿宋_GB2312"/>
          <w:sz w:val="32"/>
          <w:szCs w:val="32"/>
          <w:lang w:eastAsia="zh-CN"/>
        </w:rPr>
        <w:t>。</w:t>
      </w:r>
    </w:p>
    <w:p w14:paraId="3330CFF1">
      <w:pPr>
        <w:spacing w:line="600" w:lineRule="exact"/>
        <w:ind w:firstLine="640"/>
        <w:rPr>
          <w:rFonts w:hint="eastAsia" w:eastAsia="仿宋_GB2312" w:cs="仿宋_GB2312"/>
          <w:color w:val="0000FF"/>
          <w:sz w:val="32"/>
          <w:szCs w:val="32"/>
        </w:rPr>
      </w:pPr>
      <w:r>
        <w:drawing>
          <wp:anchor distT="0" distB="0" distL="114300" distR="114300" simplePos="0" relativeHeight="251664384" behindDoc="0" locked="0" layoutInCell="1" allowOverlap="1">
            <wp:simplePos x="0" y="0"/>
            <wp:positionH relativeFrom="column">
              <wp:posOffset>534670</wp:posOffset>
            </wp:positionH>
            <wp:positionV relativeFrom="paragraph">
              <wp:posOffset>167005</wp:posOffset>
            </wp:positionV>
            <wp:extent cx="4283710" cy="3429635"/>
            <wp:effectExtent l="4445" t="4445" r="17145" b="1397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5B822E3">
      <w:pPr>
        <w:pStyle w:val="2"/>
        <w:rPr>
          <w:rFonts w:hint="eastAsia" w:eastAsia="仿宋_GB2312" w:cs="仿宋_GB2312"/>
          <w:color w:val="0000FF"/>
          <w:sz w:val="32"/>
          <w:szCs w:val="32"/>
        </w:rPr>
      </w:pPr>
    </w:p>
    <w:p w14:paraId="2F39B6E6">
      <w:pPr>
        <w:pStyle w:val="3"/>
      </w:pPr>
    </w:p>
    <w:p w14:paraId="04311619">
      <w:pPr>
        <w:spacing w:line="600" w:lineRule="exact"/>
        <w:ind w:firstLine="420" w:firstLineChars="200"/>
      </w:pPr>
    </w:p>
    <w:p w14:paraId="642D5CA8">
      <w:pPr>
        <w:pStyle w:val="2"/>
      </w:pPr>
    </w:p>
    <w:p w14:paraId="3B4E0573">
      <w:pPr>
        <w:pStyle w:val="3"/>
      </w:pPr>
    </w:p>
    <w:p w14:paraId="7E8329F3">
      <w:pPr>
        <w:pStyle w:val="3"/>
      </w:pPr>
    </w:p>
    <w:p w14:paraId="4C9FD9DC">
      <w:pPr>
        <w:pStyle w:val="3"/>
      </w:pPr>
    </w:p>
    <w:p w14:paraId="733AF081">
      <w:pPr>
        <w:pStyle w:val="3"/>
      </w:pPr>
    </w:p>
    <w:p w14:paraId="23750FA2">
      <w:pPr>
        <w:pStyle w:val="3"/>
      </w:pPr>
    </w:p>
    <w:p w14:paraId="46EBAA2F">
      <w:pPr>
        <w:spacing w:line="600" w:lineRule="exact"/>
        <w:ind w:firstLine="1600" w:firstLineChars="500"/>
        <w:rPr>
          <w:rFonts w:hint="eastAsia" w:eastAsia="仿宋_GB2312" w:cs="仿宋_GB2312"/>
          <w:sz w:val="32"/>
          <w:szCs w:val="32"/>
        </w:rPr>
      </w:pPr>
      <w:r>
        <w:rPr>
          <w:rFonts w:hint="eastAsia" w:eastAsia="仿宋_GB2312" w:cs="仿宋_GB2312"/>
          <w:sz w:val="32"/>
          <w:szCs w:val="32"/>
        </w:rPr>
        <w:t>图4：财政拨款收、支决算总计变动情况</w:t>
      </w:r>
    </w:p>
    <w:p w14:paraId="51F819DE">
      <w:pPr>
        <w:pStyle w:val="2"/>
        <w:rPr>
          <w:rFonts w:hint="eastAsia"/>
        </w:rPr>
      </w:pPr>
    </w:p>
    <w:p w14:paraId="786A2E06">
      <w:pPr>
        <w:pStyle w:val="2"/>
      </w:pPr>
    </w:p>
    <w:p w14:paraId="21621920">
      <w:pPr>
        <w:spacing w:line="600" w:lineRule="exact"/>
        <w:ind w:firstLine="640" w:firstLineChars="200"/>
        <w:outlineLvl w:val="1"/>
        <w:rPr>
          <w:rStyle w:val="29"/>
          <w:rFonts w:ascii="Times New Roman" w:hAnsi="Times New Roman" w:eastAsia="黑体"/>
          <w:b w:val="0"/>
        </w:rPr>
      </w:pPr>
      <w:bookmarkStart w:id="30" w:name="_Toc15396607"/>
      <w:bookmarkStart w:id="31"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30"/>
      <w:bookmarkEnd w:id="31"/>
    </w:p>
    <w:p w14:paraId="07122754">
      <w:pPr>
        <w:spacing w:line="600" w:lineRule="exact"/>
        <w:ind w:firstLine="643" w:firstLineChars="200"/>
        <w:outlineLvl w:val="2"/>
        <w:rPr>
          <w:rFonts w:eastAsia="楷体_GB2312" w:cs="楷体_GB2312"/>
          <w:b/>
          <w:sz w:val="32"/>
          <w:szCs w:val="32"/>
        </w:rPr>
      </w:pPr>
      <w:bookmarkStart w:id="32" w:name="_Toc15377210"/>
      <w:r>
        <w:rPr>
          <w:rFonts w:hint="eastAsia" w:eastAsia="楷体_GB2312" w:cs="楷体_GB2312"/>
          <w:b/>
          <w:sz w:val="32"/>
          <w:szCs w:val="32"/>
        </w:rPr>
        <w:t>（一）一般公共预算财政拨款支出决算总体情况</w:t>
      </w:r>
      <w:bookmarkEnd w:id="32"/>
    </w:p>
    <w:p w14:paraId="4B2512C4">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2025年度一般公共预算财政拨</w:t>
      </w:r>
      <w:r>
        <w:rPr>
          <w:rFonts w:hint="default" w:ascii="Times New Roman" w:hAnsi="Times New Roman" w:eastAsia="仿宋_GB2312" w:cs="Times New Roman"/>
          <w:sz w:val="32"/>
          <w:szCs w:val="32"/>
        </w:rPr>
        <w:t>款支出</w:t>
      </w:r>
      <w:r>
        <w:rPr>
          <w:rFonts w:hint="default" w:ascii="Times New Roman" w:hAnsi="Times New Roman" w:eastAsia="仿宋_GB2312" w:cs="Times New Roman"/>
          <w:sz w:val="32"/>
          <w:szCs w:val="32"/>
          <w:lang w:val="en-US" w:eastAsia="zh-CN"/>
        </w:rPr>
        <w:t>3514.25</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%。与上年度相比，一般公共预算财政拨款支出增加</w:t>
      </w:r>
      <w:r>
        <w:rPr>
          <w:rFonts w:hint="default" w:ascii="Times New Roman" w:hAnsi="Times New Roman" w:eastAsia="仿宋" w:cs="Times New Roman"/>
          <w:sz w:val="32"/>
          <w:szCs w:val="32"/>
          <w:lang w:val="en-US" w:eastAsia="zh-CN"/>
        </w:rPr>
        <w:t>41.07</w:t>
      </w:r>
      <w:r>
        <w:rPr>
          <w:rFonts w:hint="default" w:ascii="Times New Roman" w:hAnsi="Times New Roman" w:eastAsia="仿宋_GB2312" w:cs="Times New Roman"/>
          <w:sz w:val="32"/>
          <w:szCs w:val="32"/>
        </w:rPr>
        <w:t>万元，增长</w:t>
      </w:r>
      <w:r>
        <w:rPr>
          <w:rFonts w:hint="default" w:ascii="Times New Roman" w:hAnsi="Times New Roman" w:eastAsia="仿宋" w:cs="Times New Roman"/>
          <w:sz w:val="32"/>
          <w:szCs w:val="32"/>
          <w:highlight w:val="none"/>
          <w:lang w:val="en-US" w:eastAsia="zh-CN"/>
        </w:rPr>
        <w:t>1.2</w:t>
      </w:r>
      <w:r>
        <w:rPr>
          <w:rFonts w:hint="default" w:ascii="Times New Roman" w:hAnsi="Times New Roman" w:eastAsia="仿宋_GB2312" w:cs="Times New Roman"/>
          <w:sz w:val="32"/>
          <w:szCs w:val="32"/>
        </w:rPr>
        <w:t>%。</w:t>
      </w:r>
      <w:r>
        <w:rPr>
          <w:rFonts w:hint="eastAsia" w:eastAsia="仿宋_GB2312" w:cs="仿宋_GB2312"/>
          <w:sz w:val="32"/>
          <w:szCs w:val="32"/>
        </w:rPr>
        <w:t>主要变动原因是</w:t>
      </w:r>
      <w:r>
        <w:rPr>
          <w:rFonts w:hint="eastAsia" w:ascii="仿宋_GB2312" w:hAnsi="仿宋" w:eastAsia="仿宋_GB2312"/>
          <w:sz w:val="32"/>
          <w:szCs w:val="32"/>
        </w:rPr>
        <w:t>人员经费支出金额增加</w:t>
      </w:r>
      <w:r>
        <w:rPr>
          <w:rFonts w:hint="eastAsia" w:ascii="仿宋_GB2312" w:hAnsi="仿宋" w:eastAsia="仿宋_GB2312"/>
          <w:sz w:val="32"/>
          <w:szCs w:val="32"/>
          <w:lang w:eastAsia="zh-CN"/>
        </w:rPr>
        <w:t>。</w:t>
      </w:r>
    </w:p>
    <w:p w14:paraId="3DC390B5">
      <w:pPr>
        <w:spacing w:line="600" w:lineRule="exact"/>
        <w:ind w:firstLine="640"/>
        <w:rPr>
          <w:rFonts w:hint="eastAsia" w:eastAsia="仿宋_GB2312" w:cs="仿宋_GB2312"/>
          <w:sz w:val="32"/>
          <w:szCs w:val="32"/>
        </w:rPr>
      </w:pPr>
      <w:r>
        <w:drawing>
          <wp:anchor distT="0" distB="0" distL="114300" distR="114300" simplePos="0" relativeHeight="251665408" behindDoc="0" locked="0" layoutInCell="1" allowOverlap="1">
            <wp:simplePos x="0" y="0"/>
            <wp:positionH relativeFrom="column">
              <wp:posOffset>648335</wp:posOffset>
            </wp:positionH>
            <wp:positionV relativeFrom="paragraph">
              <wp:posOffset>80645</wp:posOffset>
            </wp:positionV>
            <wp:extent cx="3827145" cy="2486660"/>
            <wp:effectExtent l="4445" t="4445" r="16510" b="23495"/>
            <wp:wrapSquare wrapText="bothSides"/>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DB539D0">
      <w:pPr>
        <w:pStyle w:val="2"/>
        <w:rPr>
          <w:rFonts w:hint="eastAsia" w:eastAsia="仿宋_GB2312" w:cs="仿宋_GB2312"/>
          <w:sz w:val="32"/>
          <w:szCs w:val="32"/>
        </w:rPr>
      </w:pPr>
    </w:p>
    <w:p w14:paraId="351C4717">
      <w:pPr>
        <w:pStyle w:val="3"/>
        <w:rPr>
          <w:rFonts w:hint="eastAsia"/>
        </w:rPr>
      </w:pPr>
    </w:p>
    <w:p w14:paraId="43D3905D">
      <w:pPr>
        <w:spacing w:line="600" w:lineRule="exact"/>
        <w:ind w:firstLine="960" w:firstLineChars="300"/>
        <w:rPr>
          <w:rFonts w:eastAsia="仿宋_GB2312" w:cs="仿宋_GB2312"/>
          <w:sz w:val="32"/>
          <w:szCs w:val="32"/>
        </w:rPr>
      </w:pPr>
      <w:r>
        <w:rPr>
          <w:rFonts w:hint="eastAsia" w:eastAsia="仿宋_GB2312" w:cs="仿宋_GB2312"/>
          <w:sz w:val="32"/>
          <w:szCs w:val="32"/>
        </w:rPr>
        <w:t>图5：一般公共预算财政拨款支出决算变动情况</w:t>
      </w:r>
    </w:p>
    <w:p w14:paraId="4C054FE6">
      <w:pPr>
        <w:spacing w:line="600" w:lineRule="exact"/>
        <w:ind w:firstLine="643" w:firstLineChars="200"/>
        <w:outlineLvl w:val="2"/>
        <w:rPr>
          <w:rFonts w:eastAsia="楷体_GB2312" w:cs="楷体_GB2312"/>
          <w:b/>
          <w:sz w:val="32"/>
          <w:szCs w:val="32"/>
        </w:rPr>
      </w:pPr>
      <w:bookmarkStart w:id="33" w:name="_Toc15377211"/>
      <w:r>
        <w:rPr>
          <w:rFonts w:hint="eastAsia" w:eastAsia="楷体_GB2312" w:cs="楷体_GB2312"/>
          <w:b/>
          <w:sz w:val="32"/>
          <w:szCs w:val="32"/>
        </w:rPr>
        <w:t>（二）一般公共预算财政拨款支出决算结构情况</w:t>
      </w:r>
      <w:bookmarkEnd w:id="33"/>
    </w:p>
    <w:p w14:paraId="58652475">
      <w:pPr>
        <w:spacing w:line="600" w:lineRule="exact"/>
        <w:ind w:firstLine="640"/>
        <w:rPr>
          <w:rFonts w:hint="eastAsia"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3514.25</w:t>
      </w:r>
      <w:r>
        <w:rPr>
          <w:rFonts w:hint="eastAsia" w:eastAsia="仿宋_GB2312" w:cs="仿宋_GB2312"/>
          <w:sz w:val="32"/>
          <w:szCs w:val="32"/>
        </w:rPr>
        <w:t>万元，主要用于以下方面：社会保障和就业支出893.22万元，占</w:t>
      </w:r>
      <w:r>
        <w:rPr>
          <w:rFonts w:hint="eastAsia" w:eastAsia="仿宋_GB2312" w:cs="仿宋_GB2312"/>
          <w:sz w:val="32"/>
          <w:szCs w:val="32"/>
          <w:lang w:val="en-US" w:eastAsia="zh-CN"/>
        </w:rPr>
        <w:t>25.4</w:t>
      </w:r>
      <w:r>
        <w:rPr>
          <w:rFonts w:hint="eastAsia" w:eastAsia="仿宋_GB2312" w:cs="仿宋_GB2312"/>
          <w:sz w:val="32"/>
          <w:szCs w:val="32"/>
        </w:rPr>
        <w:t>%；卫生健康支出</w:t>
      </w:r>
      <w:r>
        <w:rPr>
          <w:rFonts w:hint="eastAsia" w:eastAsia="仿宋_GB2312" w:cs="仿宋_GB2312"/>
          <w:sz w:val="32"/>
          <w:szCs w:val="32"/>
          <w:lang w:val="en-US" w:eastAsia="zh-CN"/>
        </w:rPr>
        <w:t>22.39</w:t>
      </w:r>
      <w:r>
        <w:rPr>
          <w:rFonts w:hint="eastAsia" w:eastAsia="仿宋_GB2312" w:cs="仿宋_GB2312"/>
          <w:sz w:val="32"/>
          <w:szCs w:val="32"/>
        </w:rPr>
        <w:t>万元，占</w:t>
      </w:r>
      <w:r>
        <w:rPr>
          <w:rFonts w:hint="eastAsia" w:eastAsia="仿宋_GB2312" w:cs="仿宋_GB2312"/>
          <w:sz w:val="32"/>
          <w:szCs w:val="32"/>
          <w:lang w:val="en-US" w:eastAsia="zh-CN"/>
        </w:rPr>
        <w:t>0.7</w:t>
      </w:r>
      <w:r>
        <w:rPr>
          <w:rFonts w:hint="eastAsia" w:eastAsia="仿宋_GB2312" w:cs="仿宋_GB2312"/>
          <w:sz w:val="32"/>
          <w:szCs w:val="32"/>
        </w:rPr>
        <w:t>%；住房保障支出</w:t>
      </w:r>
      <w:r>
        <w:rPr>
          <w:rFonts w:hint="eastAsia" w:eastAsia="仿宋_GB2312" w:cs="仿宋_GB2312"/>
          <w:sz w:val="32"/>
          <w:szCs w:val="32"/>
          <w:lang w:val="en-US" w:eastAsia="zh-CN"/>
        </w:rPr>
        <w:t>155.63</w:t>
      </w:r>
      <w:r>
        <w:rPr>
          <w:rFonts w:hint="eastAsia" w:eastAsia="仿宋_GB2312" w:cs="仿宋_GB2312"/>
          <w:sz w:val="32"/>
          <w:szCs w:val="32"/>
        </w:rPr>
        <w:t>万元，占</w:t>
      </w:r>
      <w:r>
        <w:rPr>
          <w:rFonts w:hint="eastAsia" w:eastAsia="仿宋_GB2312" w:cs="仿宋_GB2312"/>
          <w:sz w:val="32"/>
          <w:szCs w:val="32"/>
          <w:lang w:val="en-US" w:eastAsia="zh-CN"/>
        </w:rPr>
        <w:t>4.4</w:t>
      </w:r>
      <w:r>
        <w:rPr>
          <w:rFonts w:hint="eastAsia" w:eastAsia="仿宋_GB2312" w:cs="仿宋_GB2312"/>
          <w:sz w:val="32"/>
          <w:szCs w:val="32"/>
        </w:rPr>
        <w:t>%；</w:t>
      </w:r>
      <w:r>
        <w:rPr>
          <w:rFonts w:hint="eastAsia" w:eastAsia="仿宋_GB2312" w:cs="仿宋_GB2312"/>
          <w:sz w:val="32"/>
          <w:szCs w:val="32"/>
          <w:lang w:eastAsia="zh-CN"/>
        </w:rPr>
        <w:t>节能环保支出</w:t>
      </w:r>
      <w:r>
        <w:rPr>
          <w:rFonts w:hint="eastAsia" w:eastAsia="仿宋_GB2312" w:cs="仿宋_GB2312"/>
          <w:sz w:val="32"/>
          <w:szCs w:val="32"/>
          <w:lang w:val="en-US" w:eastAsia="zh-CN"/>
        </w:rPr>
        <w:t>408.23万元，占11.6%；农林水支出1865.12万元，占53.1%；其他支出169.66万元，占4.8%。</w:t>
      </w:r>
    </w:p>
    <w:p w14:paraId="0714E9A1">
      <w:pPr>
        <w:spacing w:line="600" w:lineRule="exact"/>
        <w:ind w:firstLine="640"/>
        <w:rPr>
          <w:rFonts w:hint="eastAsia" w:eastAsia="仿宋_GB2312" w:cs="仿宋_GB2312"/>
          <w:sz w:val="32"/>
          <w:szCs w:val="32"/>
        </w:rPr>
      </w:pPr>
      <w:r>
        <w:drawing>
          <wp:anchor distT="0" distB="0" distL="114300" distR="114300" simplePos="0" relativeHeight="251666432" behindDoc="0" locked="0" layoutInCell="1" allowOverlap="1">
            <wp:simplePos x="0" y="0"/>
            <wp:positionH relativeFrom="column">
              <wp:posOffset>715010</wp:posOffset>
            </wp:positionH>
            <wp:positionV relativeFrom="paragraph">
              <wp:posOffset>78105</wp:posOffset>
            </wp:positionV>
            <wp:extent cx="3750945" cy="2513330"/>
            <wp:effectExtent l="4445" t="4445" r="16510" b="15875"/>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D721CF0">
      <w:pPr>
        <w:spacing w:line="600" w:lineRule="exact"/>
        <w:ind w:firstLine="640"/>
        <w:rPr>
          <w:rFonts w:hint="eastAsia" w:eastAsia="仿宋_GB2312" w:cs="仿宋_GB2312"/>
          <w:sz w:val="32"/>
          <w:szCs w:val="32"/>
        </w:rPr>
      </w:pPr>
    </w:p>
    <w:p w14:paraId="1F41C6CE">
      <w:pPr>
        <w:spacing w:line="600" w:lineRule="exact"/>
        <w:ind w:firstLine="640"/>
        <w:rPr>
          <w:rFonts w:hint="eastAsia" w:eastAsia="仿宋_GB2312" w:cs="仿宋_GB2312"/>
          <w:sz w:val="32"/>
          <w:szCs w:val="32"/>
        </w:rPr>
      </w:pPr>
    </w:p>
    <w:p w14:paraId="7DA795F3">
      <w:pPr>
        <w:spacing w:line="600" w:lineRule="exact"/>
        <w:ind w:firstLine="640"/>
        <w:rPr>
          <w:rFonts w:hint="eastAsia" w:eastAsia="仿宋_GB2312" w:cs="仿宋_GB2312"/>
          <w:sz w:val="32"/>
          <w:szCs w:val="32"/>
        </w:rPr>
      </w:pPr>
    </w:p>
    <w:p w14:paraId="43146197">
      <w:pPr>
        <w:spacing w:line="600" w:lineRule="exact"/>
        <w:ind w:firstLine="640"/>
        <w:rPr>
          <w:rFonts w:hint="eastAsia" w:eastAsia="仿宋_GB2312" w:cs="仿宋_GB2312"/>
          <w:sz w:val="32"/>
          <w:szCs w:val="32"/>
        </w:rPr>
      </w:pPr>
    </w:p>
    <w:p w14:paraId="27D72A26">
      <w:pPr>
        <w:spacing w:line="600" w:lineRule="exact"/>
        <w:ind w:firstLine="640"/>
        <w:rPr>
          <w:rFonts w:hint="eastAsia" w:eastAsia="仿宋_GB2312" w:cs="仿宋_GB2312"/>
          <w:sz w:val="32"/>
          <w:szCs w:val="32"/>
        </w:rPr>
      </w:pPr>
    </w:p>
    <w:p w14:paraId="1CEAABCB">
      <w:pPr>
        <w:spacing w:line="600" w:lineRule="exact"/>
        <w:rPr>
          <w:rFonts w:hint="eastAsia" w:eastAsia="仿宋_GB2312" w:cs="仿宋_GB2312"/>
          <w:sz w:val="32"/>
          <w:szCs w:val="32"/>
        </w:rPr>
      </w:pPr>
    </w:p>
    <w:p w14:paraId="54C796EE">
      <w:pPr>
        <w:spacing w:line="600" w:lineRule="exact"/>
        <w:jc w:val="center"/>
        <w:rPr>
          <w:rFonts w:eastAsia="仿宋_GB2312" w:cs="仿宋_GB2312"/>
          <w:sz w:val="32"/>
          <w:szCs w:val="32"/>
        </w:rPr>
      </w:pPr>
      <w:r>
        <w:rPr>
          <w:rFonts w:hint="eastAsia" w:eastAsia="仿宋_GB2312" w:cs="仿宋_GB2312"/>
          <w:sz w:val="32"/>
          <w:szCs w:val="32"/>
        </w:rPr>
        <w:t>图6：一般公共预算财政拨款支出决算结构</w:t>
      </w:r>
    </w:p>
    <w:p w14:paraId="3AEF8965">
      <w:pPr>
        <w:spacing w:line="600" w:lineRule="exact"/>
        <w:ind w:firstLine="643" w:firstLineChars="200"/>
        <w:outlineLvl w:val="2"/>
        <w:rPr>
          <w:rFonts w:eastAsia="楷体_GB2312" w:cs="楷体_GB2312"/>
          <w:b/>
          <w:sz w:val="32"/>
          <w:szCs w:val="32"/>
        </w:rPr>
      </w:pPr>
      <w:bookmarkStart w:id="34" w:name="_Toc15377212"/>
      <w:r>
        <w:rPr>
          <w:rFonts w:hint="eastAsia" w:eastAsia="楷体_GB2312" w:cs="楷体_GB2312"/>
          <w:b/>
          <w:sz w:val="32"/>
          <w:szCs w:val="32"/>
        </w:rPr>
        <w:t>（三）一般公共预算财政拨款支出决算具体情况</w:t>
      </w:r>
      <w:bookmarkEnd w:id="34"/>
    </w:p>
    <w:p w14:paraId="379F6B74">
      <w:pPr>
        <w:spacing w:line="600" w:lineRule="exact"/>
        <w:ind w:firstLine="640"/>
        <w:rPr>
          <w:rFonts w:eastAsia="仿宋_GB2312" w:cs="仿宋_GB2312"/>
          <w:sz w:val="32"/>
          <w:szCs w:val="32"/>
        </w:rPr>
      </w:pPr>
      <w:bookmarkStart w:id="35" w:name="_Toc15378460"/>
      <w:bookmarkStart w:id="36" w:name="_Toc15377213"/>
      <w:bookmarkStart w:id="37" w:name="_Toc15377444"/>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3514.25万元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5"/>
      <w:bookmarkEnd w:id="36"/>
      <w:bookmarkEnd w:id="37"/>
    </w:p>
    <w:p w14:paraId="677A301C">
      <w:pPr>
        <w:spacing w:line="600" w:lineRule="exact"/>
        <w:ind w:firstLine="640" w:firstLineChars="200"/>
        <w:rPr>
          <w:rStyle w:val="17"/>
          <w:rFonts w:hint="default" w:ascii="Times New Roman" w:hAnsi="Times New Roman" w:eastAsia="仿宋" w:cs="Times New Roman"/>
          <w:b w:val="0"/>
          <w:bCs w:val="0"/>
          <w:sz w:val="32"/>
          <w:szCs w:val="32"/>
        </w:rPr>
      </w:pPr>
      <w:r>
        <w:rPr>
          <w:rStyle w:val="17"/>
          <w:rFonts w:hint="default" w:ascii="Times New Roman" w:hAnsi="Times New Roman" w:eastAsia="仿宋" w:cs="Times New Roman"/>
          <w:b w:val="0"/>
          <w:bCs w:val="0"/>
          <w:sz w:val="32"/>
          <w:szCs w:val="32"/>
        </w:rPr>
        <w:t>1.社会保障和就业（类）</w:t>
      </w:r>
      <w:r>
        <w:rPr>
          <w:rFonts w:hint="default" w:ascii="Times New Roman" w:hAnsi="Times New Roman" w:eastAsia="仿宋" w:cs="Times New Roman"/>
          <w:b w:val="0"/>
          <w:bCs w:val="0"/>
          <w:sz w:val="32"/>
          <w:szCs w:val="32"/>
        </w:rPr>
        <w:t>行政事业单位养老支出</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事业单位离退休</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 xml:space="preserve"> 支出决算为</w:t>
      </w:r>
      <w:r>
        <w:rPr>
          <w:rFonts w:hint="default" w:ascii="Times New Roman" w:hAnsi="Times New Roman" w:eastAsia="仿宋" w:cs="Times New Roman"/>
          <w:b w:val="0"/>
          <w:bCs w:val="0"/>
          <w:sz w:val="32"/>
          <w:szCs w:val="32"/>
          <w:lang w:val="en-US" w:eastAsia="zh-CN"/>
        </w:rPr>
        <w:t>80</w:t>
      </w:r>
      <w:r>
        <w:rPr>
          <w:rFonts w:hint="eastAsia" w:eastAsia="仿宋" w:cs="Times New Roman"/>
          <w:b w:val="0"/>
          <w:bCs w:val="0"/>
          <w:sz w:val="32"/>
          <w:szCs w:val="32"/>
          <w:lang w:val="en-US" w:eastAsia="zh-CN"/>
        </w:rPr>
        <w:t>7.99</w:t>
      </w:r>
      <w:r>
        <w:rPr>
          <w:rStyle w:val="17"/>
          <w:rFonts w:hint="default" w:ascii="Times New Roman" w:hAnsi="Times New Roman" w:eastAsia="仿宋" w:cs="Times New Roman"/>
          <w:b w:val="0"/>
          <w:bCs w:val="0"/>
          <w:sz w:val="32"/>
          <w:szCs w:val="32"/>
        </w:rPr>
        <w:t>万元，完成预算100%。</w:t>
      </w:r>
    </w:p>
    <w:p w14:paraId="3C17955D">
      <w:pPr>
        <w:spacing w:line="600" w:lineRule="exact"/>
        <w:ind w:firstLine="640" w:firstLineChars="200"/>
        <w:rPr>
          <w:rStyle w:val="17"/>
          <w:rFonts w:hint="default" w:ascii="Times New Roman" w:hAnsi="Times New Roman" w:eastAsia="仿宋" w:cs="Times New Roman"/>
          <w:b w:val="0"/>
          <w:bCs w:val="0"/>
          <w:sz w:val="32"/>
          <w:szCs w:val="32"/>
        </w:rPr>
      </w:pPr>
      <w:r>
        <w:rPr>
          <w:rStyle w:val="17"/>
          <w:rFonts w:hint="eastAsia" w:eastAsia="仿宋" w:cs="Times New Roman"/>
          <w:b w:val="0"/>
          <w:bCs w:val="0"/>
          <w:sz w:val="32"/>
          <w:szCs w:val="32"/>
          <w:lang w:val="en-US" w:eastAsia="zh-CN"/>
        </w:rPr>
        <w:t>2</w:t>
      </w:r>
      <w:r>
        <w:rPr>
          <w:rStyle w:val="17"/>
          <w:rFonts w:hint="default" w:ascii="Times New Roman" w:hAnsi="Times New Roman" w:eastAsia="仿宋" w:cs="Times New Roman"/>
          <w:b w:val="0"/>
          <w:bCs w:val="0"/>
          <w:sz w:val="32"/>
          <w:szCs w:val="32"/>
        </w:rPr>
        <w:t>.社会保障和就业（类）</w:t>
      </w:r>
      <w:r>
        <w:rPr>
          <w:rFonts w:hint="default" w:ascii="Times New Roman" w:hAnsi="Times New Roman" w:eastAsia="仿宋" w:cs="Times New Roman"/>
          <w:b w:val="0"/>
          <w:bCs w:val="0"/>
          <w:sz w:val="32"/>
          <w:szCs w:val="32"/>
        </w:rPr>
        <w:t>行政事业单位养老支出</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机关事业单位职业年金缴费支出</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 xml:space="preserve"> 支出决算为</w:t>
      </w:r>
      <w:r>
        <w:rPr>
          <w:rStyle w:val="17"/>
          <w:rFonts w:hint="eastAsia" w:eastAsia="仿宋" w:cs="Times New Roman"/>
          <w:b w:val="0"/>
          <w:bCs w:val="0"/>
          <w:sz w:val="32"/>
          <w:szCs w:val="32"/>
          <w:lang w:val="en-US" w:eastAsia="zh-CN"/>
        </w:rPr>
        <w:t>52.27</w:t>
      </w:r>
      <w:r>
        <w:rPr>
          <w:rStyle w:val="17"/>
          <w:rFonts w:hint="default" w:ascii="Times New Roman" w:hAnsi="Times New Roman" w:eastAsia="仿宋" w:cs="Times New Roman"/>
          <w:b w:val="0"/>
          <w:bCs w:val="0"/>
          <w:sz w:val="32"/>
          <w:szCs w:val="32"/>
        </w:rPr>
        <w:t>万元，完成预算100%。</w:t>
      </w:r>
    </w:p>
    <w:p w14:paraId="16BDE356">
      <w:pPr>
        <w:spacing w:line="600" w:lineRule="exact"/>
        <w:ind w:firstLine="640" w:firstLineChars="200"/>
        <w:rPr>
          <w:rStyle w:val="17"/>
          <w:rFonts w:hint="default" w:ascii="Times New Roman" w:hAnsi="Times New Roman" w:eastAsia="仿宋" w:cs="Times New Roman"/>
          <w:b w:val="0"/>
          <w:bCs w:val="0"/>
          <w:sz w:val="32"/>
          <w:szCs w:val="32"/>
        </w:rPr>
      </w:pPr>
      <w:r>
        <w:rPr>
          <w:rStyle w:val="17"/>
          <w:rFonts w:hint="eastAsia" w:eastAsia="仿宋" w:cs="Times New Roman"/>
          <w:b w:val="0"/>
          <w:bCs w:val="0"/>
          <w:sz w:val="32"/>
          <w:szCs w:val="32"/>
          <w:lang w:val="en-US" w:eastAsia="zh-CN"/>
        </w:rPr>
        <w:t>3</w:t>
      </w:r>
      <w:r>
        <w:rPr>
          <w:rStyle w:val="17"/>
          <w:rFonts w:hint="default" w:ascii="Times New Roman" w:hAnsi="Times New Roman" w:eastAsia="仿宋" w:cs="Times New Roman"/>
          <w:b w:val="0"/>
          <w:bCs w:val="0"/>
          <w:sz w:val="32"/>
          <w:szCs w:val="32"/>
        </w:rPr>
        <w:t>.社会保障和就业（类）</w:t>
      </w:r>
      <w:r>
        <w:rPr>
          <w:rFonts w:hint="default" w:ascii="Times New Roman" w:hAnsi="Times New Roman" w:eastAsia="仿宋" w:cs="Times New Roman"/>
          <w:b w:val="0"/>
          <w:bCs w:val="0"/>
          <w:sz w:val="32"/>
          <w:szCs w:val="32"/>
        </w:rPr>
        <w:t>抚恤</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死亡抚恤</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 xml:space="preserve"> 支出决算为</w:t>
      </w:r>
      <w:r>
        <w:rPr>
          <w:rStyle w:val="17"/>
          <w:rFonts w:hint="eastAsia" w:eastAsia="仿宋" w:cs="Times New Roman"/>
          <w:b w:val="0"/>
          <w:bCs w:val="0"/>
          <w:sz w:val="32"/>
          <w:szCs w:val="32"/>
          <w:lang w:val="en-US" w:eastAsia="zh-CN"/>
        </w:rPr>
        <w:t>32.96</w:t>
      </w:r>
      <w:r>
        <w:rPr>
          <w:rStyle w:val="17"/>
          <w:rFonts w:hint="default" w:ascii="Times New Roman" w:hAnsi="Times New Roman" w:eastAsia="仿宋" w:cs="Times New Roman"/>
          <w:b w:val="0"/>
          <w:bCs w:val="0"/>
          <w:sz w:val="32"/>
          <w:szCs w:val="32"/>
        </w:rPr>
        <w:t>万元，完成预算100%。</w:t>
      </w:r>
    </w:p>
    <w:p w14:paraId="52B0091A">
      <w:pPr>
        <w:spacing w:line="600" w:lineRule="exact"/>
        <w:ind w:firstLine="640" w:firstLineChars="200"/>
        <w:rPr>
          <w:rStyle w:val="17"/>
          <w:rFonts w:hint="default" w:ascii="Times New Roman" w:hAnsi="Times New Roman" w:eastAsia="仿宋" w:cs="Times New Roman"/>
          <w:b w:val="0"/>
          <w:bCs w:val="0"/>
          <w:sz w:val="32"/>
          <w:szCs w:val="32"/>
        </w:rPr>
      </w:pP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.节能环保支出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lang w:eastAsia="zh-CN"/>
        </w:rPr>
        <w:t>森林保护修复</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lang w:eastAsia="zh-CN"/>
        </w:rPr>
        <w:t>森林管护</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支出决算为</w:t>
      </w:r>
      <w:r>
        <w:rPr>
          <w:rStyle w:val="17"/>
          <w:rFonts w:hint="eastAsia" w:eastAsia="仿宋" w:cs="Times New Roman"/>
          <w:b w:val="0"/>
          <w:bCs w:val="0"/>
          <w:sz w:val="32"/>
          <w:szCs w:val="32"/>
          <w:lang w:val="en-US" w:eastAsia="zh-CN"/>
        </w:rPr>
        <w:t>67.77</w:t>
      </w:r>
      <w:r>
        <w:rPr>
          <w:rStyle w:val="17"/>
          <w:rFonts w:hint="default" w:ascii="Times New Roman" w:hAnsi="Times New Roman" w:eastAsia="仿宋" w:cs="Times New Roman"/>
          <w:b w:val="0"/>
          <w:bCs w:val="0"/>
          <w:sz w:val="32"/>
          <w:szCs w:val="32"/>
        </w:rPr>
        <w:t>万元，完成预算100%。</w:t>
      </w:r>
    </w:p>
    <w:p w14:paraId="3EAF541A">
      <w:pPr>
        <w:spacing w:line="600" w:lineRule="exact"/>
        <w:ind w:firstLine="640" w:firstLineChars="200"/>
        <w:rPr>
          <w:rFonts w:hint="default" w:ascii="Times New Roman" w:hAnsi="Times New Roman" w:eastAsia="仿宋" w:cs="Times New Roman"/>
          <w:b w:val="0"/>
          <w:bCs w:val="0"/>
          <w:sz w:val="32"/>
          <w:szCs w:val="32"/>
        </w:rPr>
      </w:pPr>
      <w:r>
        <w:rPr>
          <w:rFonts w:hint="eastAsia" w:eastAsia="仿宋" w:cs="Times New Roman"/>
          <w:b w:val="0"/>
          <w:bCs w:val="0"/>
          <w:sz w:val="32"/>
          <w:szCs w:val="32"/>
          <w:lang w:val="en-US" w:eastAsia="zh-CN"/>
        </w:rPr>
        <w:t>5</w:t>
      </w:r>
      <w:r>
        <w:rPr>
          <w:rFonts w:hint="default" w:ascii="Times New Roman" w:hAnsi="Times New Roman"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节能环保支出（类）</w:t>
      </w:r>
      <w:r>
        <w:rPr>
          <w:rFonts w:hint="default" w:ascii="Times New Roman" w:hAnsi="Times New Roman" w:eastAsia="仿宋" w:cs="Times New Roman"/>
          <w:b w:val="0"/>
          <w:bCs w:val="0"/>
          <w:sz w:val="32"/>
          <w:szCs w:val="32"/>
          <w:lang w:eastAsia="zh-CN"/>
        </w:rPr>
        <w:t>森林保护修复</w:t>
      </w:r>
      <w:r>
        <w:rPr>
          <w:rFonts w:hint="default" w:ascii="Times New Roman" w:hAnsi="Times New Roman" w:eastAsia="仿宋" w:cs="Times New Roman"/>
          <w:b w:val="0"/>
          <w:bCs w:val="0"/>
          <w:sz w:val="32"/>
          <w:szCs w:val="32"/>
        </w:rPr>
        <w:t>（款）社会保险补助（项）</w:t>
      </w:r>
      <w:r>
        <w:rPr>
          <w:rFonts w:hint="eastAsia" w:eastAsia="仿宋" w:cs="Times New Roman"/>
          <w:b w:val="0"/>
          <w:bCs w:val="0"/>
          <w:sz w:val="32"/>
          <w:szCs w:val="32"/>
          <w:lang w:eastAsia="zh-CN"/>
        </w:rPr>
        <w:t>：</w:t>
      </w:r>
      <w:r>
        <w:rPr>
          <w:rFonts w:hint="default" w:ascii="Times New Roman" w:hAnsi="Times New Roman" w:eastAsia="仿宋" w:cs="Times New Roman"/>
          <w:b w:val="0"/>
          <w:bCs w:val="0"/>
          <w:sz w:val="32"/>
          <w:szCs w:val="32"/>
        </w:rPr>
        <w:t>支出决算为</w:t>
      </w:r>
      <w:r>
        <w:rPr>
          <w:rFonts w:hint="eastAsia" w:eastAsia="仿宋" w:cs="Times New Roman"/>
          <w:b w:val="0"/>
          <w:bCs w:val="0"/>
          <w:sz w:val="32"/>
          <w:szCs w:val="32"/>
          <w:lang w:val="en-US" w:eastAsia="zh-CN"/>
        </w:rPr>
        <w:t>90.86</w:t>
      </w:r>
      <w:r>
        <w:rPr>
          <w:rFonts w:hint="default" w:ascii="Times New Roman" w:hAnsi="Times New Roman" w:eastAsia="仿宋" w:cs="Times New Roman"/>
          <w:b w:val="0"/>
          <w:bCs w:val="0"/>
          <w:sz w:val="32"/>
          <w:szCs w:val="32"/>
        </w:rPr>
        <w:t>万元，完成预算100%。</w:t>
      </w:r>
    </w:p>
    <w:p w14:paraId="033995B5">
      <w:pPr>
        <w:spacing w:line="600" w:lineRule="exact"/>
        <w:ind w:firstLine="640" w:firstLineChars="200"/>
        <w:rPr>
          <w:rFonts w:hint="default" w:ascii="Times New Roman" w:hAnsi="Times New Roman" w:cs="Times New Roman"/>
          <w:b w:val="0"/>
          <w:bCs w:val="0"/>
        </w:rPr>
      </w:pPr>
      <w:r>
        <w:rPr>
          <w:rFonts w:hint="eastAsia" w:eastAsia="仿宋" w:cs="Times New Roman"/>
          <w:b w:val="0"/>
          <w:bCs w:val="0"/>
          <w:sz w:val="32"/>
          <w:szCs w:val="32"/>
          <w:lang w:val="en-US" w:eastAsia="zh-CN"/>
        </w:rPr>
        <w:t>6</w:t>
      </w:r>
      <w:r>
        <w:rPr>
          <w:rFonts w:hint="default" w:ascii="Times New Roman" w:hAnsi="Times New Roman"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节能环保支出（类）</w:t>
      </w:r>
      <w:r>
        <w:rPr>
          <w:rFonts w:hint="default" w:ascii="Times New Roman" w:hAnsi="Times New Roman" w:eastAsia="仿宋" w:cs="Times New Roman"/>
          <w:b w:val="0"/>
          <w:bCs w:val="0"/>
          <w:sz w:val="32"/>
          <w:szCs w:val="32"/>
          <w:lang w:eastAsia="zh-CN"/>
        </w:rPr>
        <w:t>森林保护修复</w:t>
      </w:r>
      <w:r>
        <w:rPr>
          <w:rFonts w:hint="default" w:ascii="Times New Roman" w:hAnsi="Times New Roman" w:eastAsia="仿宋" w:cs="Times New Roman"/>
          <w:b w:val="0"/>
          <w:bCs w:val="0"/>
          <w:sz w:val="32"/>
          <w:szCs w:val="32"/>
        </w:rPr>
        <w:t>（款）</w:t>
      </w:r>
      <w:r>
        <w:rPr>
          <w:rFonts w:hint="eastAsia" w:eastAsia="仿宋" w:cs="Times New Roman"/>
          <w:b w:val="0"/>
          <w:bCs w:val="0"/>
          <w:sz w:val="32"/>
          <w:szCs w:val="32"/>
          <w:lang w:eastAsia="zh-CN"/>
        </w:rPr>
        <w:t>其他森林保护修复支出</w:t>
      </w:r>
      <w:r>
        <w:rPr>
          <w:rFonts w:hint="default" w:ascii="Times New Roman" w:hAnsi="Times New Roman" w:eastAsia="仿宋" w:cs="Times New Roman"/>
          <w:b w:val="0"/>
          <w:bCs w:val="0"/>
          <w:sz w:val="32"/>
          <w:szCs w:val="32"/>
        </w:rPr>
        <w:t>（项）</w:t>
      </w:r>
      <w:r>
        <w:rPr>
          <w:rFonts w:hint="eastAsia" w:eastAsia="仿宋" w:cs="Times New Roman"/>
          <w:b w:val="0"/>
          <w:bCs w:val="0"/>
          <w:sz w:val="32"/>
          <w:szCs w:val="32"/>
          <w:lang w:eastAsia="zh-CN"/>
        </w:rPr>
        <w:t>：</w:t>
      </w:r>
      <w:r>
        <w:rPr>
          <w:rFonts w:hint="default" w:ascii="Times New Roman" w:hAnsi="Times New Roman" w:eastAsia="仿宋" w:cs="Times New Roman"/>
          <w:b w:val="0"/>
          <w:bCs w:val="0"/>
          <w:sz w:val="32"/>
          <w:szCs w:val="32"/>
        </w:rPr>
        <w:t>支出决算为</w:t>
      </w:r>
      <w:r>
        <w:rPr>
          <w:rFonts w:hint="eastAsia" w:eastAsia="仿宋" w:cs="Times New Roman"/>
          <w:b w:val="0"/>
          <w:bCs w:val="0"/>
          <w:sz w:val="32"/>
          <w:szCs w:val="32"/>
          <w:lang w:val="en-US" w:eastAsia="zh-CN"/>
        </w:rPr>
        <w:t>249.6</w:t>
      </w:r>
      <w:r>
        <w:rPr>
          <w:rFonts w:hint="default" w:ascii="Times New Roman" w:hAnsi="Times New Roman" w:eastAsia="仿宋" w:cs="Times New Roman"/>
          <w:b w:val="0"/>
          <w:bCs w:val="0"/>
          <w:sz w:val="32"/>
          <w:szCs w:val="32"/>
        </w:rPr>
        <w:t>万元，完成预算100%。</w:t>
      </w:r>
    </w:p>
    <w:p w14:paraId="5EFC782A">
      <w:pPr>
        <w:spacing w:line="600" w:lineRule="exact"/>
        <w:ind w:firstLine="640" w:firstLineChars="200"/>
        <w:rPr>
          <w:rFonts w:hint="default" w:ascii="Times New Roman" w:hAnsi="Times New Roman" w:eastAsia="仿宋" w:cs="Times New Roman"/>
          <w:b w:val="0"/>
          <w:bCs w:val="0"/>
          <w:sz w:val="32"/>
          <w:szCs w:val="32"/>
        </w:rPr>
      </w:pPr>
      <w:r>
        <w:rPr>
          <w:rFonts w:hint="eastAsia" w:eastAsia="仿宋" w:cs="Times New Roman"/>
          <w:b w:val="0"/>
          <w:bCs w:val="0"/>
          <w:sz w:val="32"/>
          <w:szCs w:val="32"/>
          <w:lang w:val="en-US" w:eastAsia="zh-CN"/>
        </w:rPr>
        <w:t>7</w:t>
      </w:r>
      <w:r>
        <w:rPr>
          <w:rFonts w:hint="default" w:ascii="Times New Roman" w:hAnsi="Times New Roman" w:eastAsia="仿宋" w:cs="Times New Roman"/>
          <w:b w:val="0"/>
          <w:bCs w:val="0"/>
          <w:sz w:val="32"/>
          <w:szCs w:val="32"/>
        </w:rPr>
        <w:t>.农林水支出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林业和草原</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事业机构</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支出决算为</w:t>
      </w:r>
      <w:r>
        <w:rPr>
          <w:rStyle w:val="17"/>
          <w:rFonts w:hint="eastAsia" w:eastAsia="仿宋" w:cs="Times New Roman"/>
          <w:b w:val="0"/>
          <w:bCs w:val="0"/>
          <w:sz w:val="32"/>
          <w:szCs w:val="32"/>
          <w:lang w:val="en-US" w:eastAsia="zh-CN"/>
        </w:rPr>
        <w:t>1533.28</w:t>
      </w:r>
      <w:r>
        <w:rPr>
          <w:rStyle w:val="17"/>
          <w:rFonts w:hint="default" w:ascii="Times New Roman" w:hAnsi="Times New Roman" w:eastAsia="仿宋" w:cs="Times New Roman"/>
          <w:b w:val="0"/>
          <w:bCs w:val="0"/>
          <w:sz w:val="32"/>
          <w:szCs w:val="32"/>
        </w:rPr>
        <w:t>万元，完成预算100%。</w:t>
      </w:r>
    </w:p>
    <w:p w14:paraId="0B9ED6A5">
      <w:pPr>
        <w:spacing w:line="600" w:lineRule="exact"/>
        <w:ind w:firstLine="640" w:firstLineChars="200"/>
        <w:rPr>
          <w:rFonts w:hint="default" w:ascii="Times New Roman" w:hAnsi="Times New Roman" w:eastAsia="仿宋" w:cs="Times New Roman"/>
          <w:b w:val="0"/>
          <w:bCs w:val="0"/>
          <w:sz w:val="32"/>
          <w:szCs w:val="32"/>
        </w:rPr>
      </w:pPr>
      <w:r>
        <w:rPr>
          <w:rFonts w:hint="eastAsia" w:eastAsia="仿宋" w:cs="Times New Roman"/>
          <w:b w:val="0"/>
          <w:bCs w:val="0"/>
          <w:sz w:val="32"/>
          <w:szCs w:val="32"/>
          <w:lang w:val="en-US" w:eastAsia="zh-CN"/>
        </w:rPr>
        <w:t>8</w:t>
      </w:r>
      <w:r>
        <w:rPr>
          <w:rFonts w:hint="default" w:ascii="Times New Roman" w:hAnsi="Times New Roman" w:eastAsia="仿宋" w:cs="Times New Roman"/>
          <w:b w:val="0"/>
          <w:bCs w:val="0"/>
          <w:sz w:val="32"/>
          <w:szCs w:val="32"/>
        </w:rPr>
        <w:t>.农林水支出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林业和草原</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森林资源培育</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支出决算为</w:t>
      </w:r>
      <w:r>
        <w:rPr>
          <w:rStyle w:val="17"/>
          <w:rFonts w:hint="eastAsia" w:eastAsia="仿宋" w:cs="Times New Roman"/>
          <w:b w:val="0"/>
          <w:bCs w:val="0"/>
          <w:sz w:val="32"/>
          <w:szCs w:val="32"/>
          <w:lang w:val="en-US" w:eastAsia="zh-CN"/>
        </w:rPr>
        <w:t>70</w:t>
      </w:r>
      <w:r>
        <w:rPr>
          <w:rStyle w:val="17"/>
          <w:rFonts w:hint="default" w:ascii="Times New Roman" w:hAnsi="Times New Roman" w:eastAsia="仿宋" w:cs="Times New Roman"/>
          <w:b w:val="0"/>
          <w:bCs w:val="0"/>
          <w:sz w:val="32"/>
          <w:szCs w:val="32"/>
        </w:rPr>
        <w:t>万元，完成预算100%。</w:t>
      </w:r>
    </w:p>
    <w:p w14:paraId="107661BF">
      <w:pPr>
        <w:spacing w:line="600" w:lineRule="exact"/>
        <w:ind w:firstLine="640" w:firstLineChars="200"/>
        <w:rPr>
          <w:rFonts w:hint="default" w:ascii="Times New Roman" w:hAnsi="Times New Roman" w:eastAsia="仿宋" w:cs="Times New Roman"/>
          <w:b w:val="0"/>
          <w:bCs w:val="0"/>
          <w:sz w:val="32"/>
          <w:szCs w:val="32"/>
        </w:rPr>
      </w:pPr>
      <w:r>
        <w:rPr>
          <w:rFonts w:hint="eastAsia" w:eastAsia="仿宋" w:cs="Times New Roman"/>
          <w:b w:val="0"/>
          <w:bCs w:val="0"/>
          <w:sz w:val="32"/>
          <w:szCs w:val="32"/>
          <w:lang w:val="en-US" w:eastAsia="zh-CN"/>
        </w:rPr>
        <w:t>9</w:t>
      </w:r>
      <w:r>
        <w:rPr>
          <w:rFonts w:hint="default" w:ascii="Times New Roman" w:hAnsi="Times New Roman" w:eastAsia="仿宋" w:cs="Times New Roman"/>
          <w:b w:val="0"/>
          <w:bCs w:val="0"/>
          <w:sz w:val="32"/>
          <w:szCs w:val="32"/>
        </w:rPr>
        <w:t>.农林水支出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林业和草原</w:t>
      </w:r>
      <w:r>
        <w:rPr>
          <w:rStyle w:val="17"/>
          <w:rFonts w:hint="default" w:ascii="Times New Roman" w:hAnsi="Times New Roman" w:eastAsia="仿宋" w:cs="Times New Roman"/>
          <w:b w:val="0"/>
          <w:bCs w:val="0"/>
          <w:sz w:val="32"/>
          <w:szCs w:val="32"/>
        </w:rPr>
        <w:t>（款）</w:t>
      </w:r>
      <w:r>
        <w:rPr>
          <w:rFonts w:hint="eastAsia" w:eastAsia="仿宋" w:cs="Times New Roman"/>
          <w:b w:val="0"/>
          <w:bCs w:val="0"/>
          <w:sz w:val="32"/>
          <w:szCs w:val="32"/>
          <w:lang w:eastAsia="zh-CN"/>
        </w:rPr>
        <w:t>其他林业和草原支出</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支出决算为</w:t>
      </w:r>
      <w:r>
        <w:rPr>
          <w:rStyle w:val="17"/>
          <w:rFonts w:hint="eastAsia" w:eastAsia="仿宋" w:cs="Times New Roman"/>
          <w:b w:val="0"/>
          <w:bCs w:val="0"/>
          <w:sz w:val="32"/>
          <w:szCs w:val="32"/>
          <w:lang w:val="en-US" w:eastAsia="zh-CN"/>
        </w:rPr>
        <w:t>261.84</w:t>
      </w:r>
      <w:r>
        <w:rPr>
          <w:rStyle w:val="17"/>
          <w:rFonts w:hint="default" w:ascii="Times New Roman" w:hAnsi="Times New Roman" w:eastAsia="仿宋" w:cs="Times New Roman"/>
          <w:b w:val="0"/>
          <w:bCs w:val="0"/>
          <w:sz w:val="32"/>
          <w:szCs w:val="32"/>
        </w:rPr>
        <w:t>万元，完成预算100%。</w:t>
      </w:r>
    </w:p>
    <w:p w14:paraId="0C2C4EDC">
      <w:pPr>
        <w:spacing w:line="600" w:lineRule="exact"/>
        <w:ind w:firstLine="640" w:firstLineChars="200"/>
        <w:rPr>
          <w:rStyle w:val="17"/>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1</w:t>
      </w:r>
      <w:r>
        <w:rPr>
          <w:rFonts w:hint="eastAsia" w:eastAsia="仿宋" w:cs="Times New Roman"/>
          <w:b w:val="0"/>
          <w:bCs w:val="0"/>
          <w:sz w:val="32"/>
          <w:szCs w:val="32"/>
          <w:lang w:val="en-US" w:eastAsia="zh-CN"/>
        </w:rPr>
        <w:t>0</w:t>
      </w:r>
      <w:r>
        <w:rPr>
          <w:rFonts w:hint="default" w:ascii="Times New Roman" w:hAnsi="Times New Roman" w:eastAsia="仿宋" w:cs="Times New Roman"/>
          <w:b w:val="0"/>
          <w:bCs w:val="0"/>
          <w:sz w:val="32"/>
          <w:szCs w:val="32"/>
        </w:rPr>
        <w:t>.住房保障支出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住房改革支出</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住房公积金</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Style w:val="17"/>
          <w:rFonts w:hint="default" w:ascii="Times New Roman" w:hAnsi="Times New Roman" w:eastAsia="仿宋" w:cs="Times New Roman"/>
          <w:b w:val="0"/>
          <w:bCs w:val="0"/>
          <w:sz w:val="32"/>
          <w:szCs w:val="32"/>
        </w:rPr>
        <w:t>支出决算为</w:t>
      </w:r>
      <w:r>
        <w:rPr>
          <w:rStyle w:val="17"/>
          <w:rFonts w:hint="eastAsia" w:eastAsia="仿宋" w:cs="Times New Roman"/>
          <w:b w:val="0"/>
          <w:bCs w:val="0"/>
          <w:sz w:val="32"/>
          <w:szCs w:val="32"/>
          <w:lang w:val="en-US" w:eastAsia="zh-CN"/>
        </w:rPr>
        <w:t>155.63</w:t>
      </w:r>
      <w:r>
        <w:rPr>
          <w:rStyle w:val="17"/>
          <w:rFonts w:hint="default" w:ascii="Times New Roman" w:hAnsi="Times New Roman" w:eastAsia="仿宋" w:cs="Times New Roman"/>
          <w:b w:val="0"/>
          <w:bCs w:val="0"/>
          <w:sz w:val="32"/>
          <w:szCs w:val="32"/>
        </w:rPr>
        <w:t>万元，完成预算100%。</w:t>
      </w:r>
    </w:p>
    <w:p w14:paraId="12D5C5CF">
      <w:pPr>
        <w:spacing w:line="600" w:lineRule="exact"/>
        <w:ind w:firstLine="640" w:firstLineChars="20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1</w:t>
      </w:r>
      <w:r>
        <w:rPr>
          <w:rFonts w:hint="eastAsia" w:eastAsia="仿宋" w:cs="Times New Roman"/>
          <w:b w:val="0"/>
          <w:bCs w:val="0"/>
          <w:sz w:val="32"/>
          <w:szCs w:val="32"/>
          <w:lang w:val="en-US" w:eastAsia="zh-CN"/>
        </w:rPr>
        <w:t>1</w:t>
      </w:r>
      <w:r>
        <w:rPr>
          <w:rFonts w:hint="default" w:ascii="Times New Roman" w:hAnsi="Times New Roman" w:eastAsia="仿宋" w:cs="Times New Roman"/>
          <w:b w:val="0"/>
          <w:bCs w:val="0"/>
          <w:sz w:val="32"/>
          <w:szCs w:val="32"/>
        </w:rPr>
        <w:t>.</w:t>
      </w:r>
      <w:r>
        <w:rPr>
          <w:rFonts w:hint="default" w:ascii="Times New Roman" w:hAnsi="Times New Roman" w:eastAsia="仿宋" w:cs="Times New Roman"/>
          <w:b w:val="0"/>
          <w:bCs w:val="0"/>
          <w:sz w:val="32"/>
          <w:szCs w:val="32"/>
          <w:lang w:eastAsia="zh-CN"/>
        </w:rPr>
        <w:t>卫生健康支出</w:t>
      </w:r>
      <w:r>
        <w:rPr>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lang w:eastAsia="zh-CN"/>
        </w:rPr>
        <w:t>行政事业单位医疗</w:t>
      </w:r>
      <w:r>
        <w:rPr>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lang w:eastAsia="zh-CN"/>
        </w:rPr>
        <w:t>事业单位医疗</w:t>
      </w:r>
      <w:r>
        <w:rPr>
          <w:rFonts w:hint="default" w:ascii="Times New Roman" w:hAnsi="Times New Roman" w:eastAsia="仿宋" w:cs="Times New Roman"/>
          <w:b w:val="0"/>
          <w:bCs w:val="0"/>
          <w:sz w:val="32"/>
          <w:szCs w:val="32"/>
        </w:rPr>
        <w:t>（项）</w:t>
      </w:r>
      <w:r>
        <w:rPr>
          <w:rFonts w:hint="eastAsia" w:eastAsia="仿宋" w:cs="Times New Roman"/>
          <w:b w:val="0"/>
          <w:bCs w:val="0"/>
          <w:sz w:val="32"/>
          <w:szCs w:val="32"/>
          <w:lang w:eastAsia="zh-CN"/>
        </w:rPr>
        <w:t>：</w:t>
      </w:r>
      <w:r>
        <w:rPr>
          <w:rFonts w:hint="default" w:ascii="Times New Roman" w:hAnsi="Times New Roman" w:eastAsia="仿宋" w:cs="Times New Roman"/>
          <w:b w:val="0"/>
          <w:bCs w:val="0"/>
          <w:sz w:val="32"/>
          <w:szCs w:val="32"/>
        </w:rPr>
        <w:t>支出决算为</w:t>
      </w:r>
      <w:r>
        <w:rPr>
          <w:rFonts w:hint="eastAsia" w:eastAsia="仿宋" w:cs="Times New Roman"/>
          <w:b w:val="0"/>
          <w:bCs w:val="0"/>
          <w:sz w:val="32"/>
          <w:szCs w:val="32"/>
          <w:lang w:val="en-US" w:eastAsia="zh-CN"/>
        </w:rPr>
        <w:t>8.76</w:t>
      </w:r>
      <w:r>
        <w:rPr>
          <w:rFonts w:hint="default" w:ascii="Times New Roman" w:hAnsi="Times New Roman" w:eastAsia="仿宋" w:cs="Times New Roman"/>
          <w:b w:val="0"/>
          <w:bCs w:val="0"/>
          <w:sz w:val="32"/>
          <w:szCs w:val="32"/>
        </w:rPr>
        <w:t>万元，完成预算100%。</w:t>
      </w:r>
    </w:p>
    <w:p w14:paraId="6321F018">
      <w:pPr>
        <w:spacing w:line="600" w:lineRule="exact"/>
        <w:ind w:firstLine="640" w:firstLineChars="200"/>
        <w:rPr>
          <w:rFonts w:hint="default" w:ascii="Times New Roman" w:hAnsi="Times New Roman" w:eastAsia="仿宋" w:cs="Times New Roman"/>
          <w:b w:val="0"/>
          <w:bCs w:val="0"/>
          <w:sz w:val="32"/>
          <w:szCs w:val="32"/>
          <w:lang w:eastAsia="zh-CN"/>
        </w:rPr>
      </w:pPr>
      <w:r>
        <w:rPr>
          <w:rFonts w:hint="default" w:ascii="Times New Roman" w:hAnsi="Times New Roman" w:eastAsia="仿宋" w:cs="Times New Roman"/>
          <w:b w:val="0"/>
          <w:bCs w:val="0"/>
          <w:sz w:val="32"/>
          <w:szCs w:val="32"/>
          <w:lang w:eastAsia="zh-CN"/>
        </w:rPr>
        <w:t>1</w:t>
      </w:r>
      <w:r>
        <w:rPr>
          <w:rFonts w:hint="eastAsia" w:eastAsia="仿宋" w:cs="Times New Roman"/>
          <w:b w:val="0"/>
          <w:bCs w:val="0"/>
          <w:sz w:val="32"/>
          <w:szCs w:val="32"/>
          <w:lang w:val="en-US" w:eastAsia="zh-CN"/>
        </w:rPr>
        <w:t>2</w:t>
      </w:r>
      <w:r>
        <w:rPr>
          <w:rFonts w:hint="default" w:ascii="Times New Roman" w:hAnsi="Times New Roman" w:eastAsia="仿宋" w:cs="Times New Roman"/>
          <w:b w:val="0"/>
          <w:bCs w:val="0"/>
          <w:sz w:val="32"/>
          <w:szCs w:val="32"/>
          <w:lang w:eastAsia="zh-CN"/>
        </w:rPr>
        <w:t>.卫生健康支出（类）行政事业单位医疗（款）公务员医疗补助（项）</w:t>
      </w:r>
      <w:r>
        <w:rPr>
          <w:rFonts w:hint="eastAsia" w:eastAsia="仿宋" w:cs="Times New Roman"/>
          <w:b w:val="0"/>
          <w:bCs w:val="0"/>
          <w:sz w:val="32"/>
          <w:szCs w:val="32"/>
          <w:lang w:eastAsia="zh-CN"/>
        </w:rPr>
        <w:t>：</w:t>
      </w:r>
      <w:r>
        <w:rPr>
          <w:rFonts w:hint="default" w:ascii="Times New Roman" w:hAnsi="Times New Roman" w:eastAsia="仿宋" w:cs="Times New Roman"/>
          <w:b w:val="0"/>
          <w:bCs w:val="0"/>
          <w:sz w:val="32"/>
          <w:szCs w:val="32"/>
          <w:lang w:eastAsia="zh-CN"/>
        </w:rPr>
        <w:t>支出决算为</w:t>
      </w:r>
      <w:r>
        <w:rPr>
          <w:rFonts w:hint="eastAsia" w:eastAsia="仿宋" w:cs="Times New Roman"/>
          <w:b w:val="0"/>
          <w:bCs w:val="0"/>
          <w:sz w:val="32"/>
          <w:szCs w:val="32"/>
          <w:lang w:val="en-US" w:eastAsia="zh-CN"/>
        </w:rPr>
        <w:t>13.63</w:t>
      </w:r>
      <w:r>
        <w:rPr>
          <w:rFonts w:hint="default" w:ascii="Times New Roman" w:hAnsi="Times New Roman" w:eastAsia="仿宋" w:cs="Times New Roman"/>
          <w:b w:val="0"/>
          <w:bCs w:val="0"/>
          <w:sz w:val="32"/>
          <w:szCs w:val="32"/>
          <w:lang w:eastAsia="zh-CN"/>
        </w:rPr>
        <w:t>万元，完成预算100%。</w:t>
      </w:r>
    </w:p>
    <w:p w14:paraId="181AC3AD">
      <w:pPr>
        <w:spacing w:line="600" w:lineRule="exact"/>
        <w:ind w:firstLine="640"/>
        <w:rPr>
          <w:rFonts w:hint="default" w:ascii="Times New Roman" w:hAnsi="Times New Roman" w:eastAsia="仿宋" w:cs="Times New Roman"/>
          <w:b w:val="0"/>
          <w:bCs w:val="0"/>
          <w:sz w:val="32"/>
          <w:szCs w:val="32"/>
          <w:lang w:eastAsia="zh-CN"/>
        </w:rPr>
      </w:pPr>
      <w:r>
        <w:rPr>
          <w:rFonts w:hint="eastAsia" w:eastAsia="仿宋_GB2312" w:cs="Times New Roman"/>
          <w:b w:val="0"/>
          <w:bCs w:val="0"/>
          <w:sz w:val="32"/>
          <w:szCs w:val="32"/>
          <w:lang w:val="en-US" w:eastAsia="zh-CN"/>
        </w:rPr>
        <w:t>13.其他支出</w:t>
      </w:r>
      <w:r>
        <w:rPr>
          <w:rFonts w:hint="default" w:ascii="Times New Roman" w:hAnsi="Times New Roman" w:eastAsia="仿宋" w:cs="Times New Roman"/>
          <w:b w:val="0"/>
          <w:bCs w:val="0"/>
          <w:sz w:val="32"/>
          <w:szCs w:val="32"/>
          <w:lang w:eastAsia="zh-CN"/>
        </w:rPr>
        <w:t>（类）</w:t>
      </w:r>
      <w:r>
        <w:rPr>
          <w:rFonts w:hint="eastAsia" w:eastAsia="仿宋" w:cs="Times New Roman"/>
          <w:b w:val="0"/>
          <w:bCs w:val="0"/>
          <w:sz w:val="32"/>
          <w:szCs w:val="32"/>
          <w:lang w:eastAsia="zh-CN"/>
        </w:rPr>
        <w:t>其他支出</w:t>
      </w:r>
      <w:r>
        <w:rPr>
          <w:rFonts w:hint="default" w:ascii="Times New Roman" w:hAnsi="Times New Roman" w:eastAsia="仿宋" w:cs="Times New Roman"/>
          <w:b w:val="0"/>
          <w:bCs w:val="0"/>
          <w:sz w:val="32"/>
          <w:szCs w:val="32"/>
          <w:lang w:eastAsia="zh-CN"/>
        </w:rPr>
        <w:t>（款）</w:t>
      </w:r>
      <w:r>
        <w:rPr>
          <w:rFonts w:hint="eastAsia" w:eastAsia="仿宋" w:cs="Times New Roman"/>
          <w:b w:val="0"/>
          <w:bCs w:val="0"/>
          <w:sz w:val="32"/>
          <w:szCs w:val="32"/>
          <w:lang w:eastAsia="zh-CN"/>
        </w:rPr>
        <w:t>其他支出</w:t>
      </w:r>
      <w:r>
        <w:rPr>
          <w:rFonts w:hint="default" w:ascii="Times New Roman" w:hAnsi="Times New Roman" w:eastAsia="仿宋" w:cs="Times New Roman"/>
          <w:b w:val="0"/>
          <w:bCs w:val="0"/>
          <w:sz w:val="32"/>
          <w:szCs w:val="32"/>
          <w:lang w:eastAsia="zh-CN"/>
        </w:rPr>
        <w:t>（项）</w:t>
      </w:r>
      <w:r>
        <w:rPr>
          <w:rFonts w:hint="eastAsia" w:eastAsia="仿宋" w:cs="Times New Roman"/>
          <w:b w:val="0"/>
          <w:bCs w:val="0"/>
          <w:sz w:val="32"/>
          <w:szCs w:val="32"/>
          <w:lang w:eastAsia="zh-CN"/>
        </w:rPr>
        <w:t>：</w:t>
      </w:r>
      <w:r>
        <w:rPr>
          <w:rFonts w:hint="default" w:ascii="Times New Roman" w:hAnsi="Times New Roman" w:eastAsia="仿宋" w:cs="Times New Roman"/>
          <w:b w:val="0"/>
          <w:bCs w:val="0"/>
          <w:sz w:val="32"/>
          <w:szCs w:val="32"/>
          <w:lang w:eastAsia="zh-CN"/>
        </w:rPr>
        <w:t>支出决算为</w:t>
      </w:r>
      <w:r>
        <w:rPr>
          <w:rFonts w:hint="eastAsia" w:eastAsia="仿宋" w:cs="Times New Roman"/>
          <w:b w:val="0"/>
          <w:bCs w:val="0"/>
          <w:sz w:val="32"/>
          <w:szCs w:val="32"/>
          <w:lang w:val="en-US" w:eastAsia="zh-CN"/>
        </w:rPr>
        <w:t>169.66</w:t>
      </w:r>
      <w:r>
        <w:rPr>
          <w:rFonts w:hint="default" w:ascii="Times New Roman" w:hAnsi="Times New Roman" w:eastAsia="仿宋" w:cs="Times New Roman"/>
          <w:b w:val="0"/>
          <w:bCs w:val="0"/>
          <w:sz w:val="32"/>
          <w:szCs w:val="32"/>
          <w:lang w:eastAsia="zh-CN"/>
        </w:rPr>
        <w:t>万元，完成预算100%。</w:t>
      </w:r>
    </w:p>
    <w:p w14:paraId="41E41759">
      <w:pPr>
        <w:tabs>
          <w:tab w:val="right" w:pos="8306"/>
        </w:tabs>
        <w:spacing w:line="600" w:lineRule="exact"/>
        <w:ind w:firstLine="640"/>
        <w:outlineLvl w:val="1"/>
        <w:rPr>
          <w:rFonts w:hint="eastAsia" w:eastAsia="黑体"/>
          <w:sz w:val="32"/>
          <w:szCs w:val="32"/>
        </w:rPr>
      </w:pPr>
      <w:bookmarkStart w:id="38" w:name="_Toc15396608"/>
      <w:bookmarkStart w:id="39" w:name="_Toc15377214"/>
    </w:p>
    <w:p w14:paraId="5C1075BD">
      <w:pPr>
        <w:tabs>
          <w:tab w:val="right" w:pos="8306"/>
        </w:tabs>
        <w:spacing w:line="600" w:lineRule="exact"/>
        <w:ind w:firstLine="640"/>
        <w:outlineLvl w:val="1"/>
        <w:rPr>
          <w:rStyle w:val="29"/>
          <w:rFonts w:ascii="Times New Roman" w:hAnsi="Times New Roman"/>
        </w:rPr>
      </w:pPr>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8"/>
      <w:bookmarkEnd w:id="39"/>
      <w:r>
        <w:rPr>
          <w:rStyle w:val="29"/>
          <w:rFonts w:ascii="Times New Roman" w:hAnsi="Times New Roman" w:eastAsia="黑体"/>
          <w:b w:val="0"/>
        </w:rPr>
        <w:tab/>
      </w:r>
    </w:p>
    <w:p w14:paraId="4B79A641">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2025年度一般公共预算财政拨款基本支出2604.5</w:t>
      </w:r>
      <w:r>
        <w:rPr>
          <w:rFonts w:hint="eastAsia" w:eastAsia="仿宋_GB2312" w:cs="仿宋_GB2312"/>
          <w:sz w:val="32"/>
          <w:szCs w:val="32"/>
          <w:lang w:val="en-US" w:eastAsia="zh-CN"/>
        </w:rPr>
        <w:t>3</w:t>
      </w:r>
      <w:r>
        <w:rPr>
          <w:rFonts w:hint="eastAsia" w:eastAsia="仿宋_GB2312" w:cs="仿宋_GB2312"/>
          <w:sz w:val="32"/>
          <w:szCs w:val="32"/>
        </w:rPr>
        <w:t>万元，其中：</w:t>
      </w:r>
    </w:p>
    <w:p w14:paraId="6E7EDF01">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2519</w:t>
      </w:r>
      <w:r>
        <w:rPr>
          <w:rFonts w:hint="eastAsia" w:eastAsia="仿宋_GB2312" w:cs="仿宋_GB2312"/>
          <w:sz w:val="32"/>
          <w:szCs w:val="32"/>
        </w:rPr>
        <w:t>万元，主要包括：基本工资、津贴补贴、绩效工资、职业年金缴费、职工基本医疗保险缴费</w:t>
      </w:r>
      <w:r>
        <w:rPr>
          <w:rFonts w:hint="eastAsia" w:eastAsia="仿宋_GB2312" w:cs="仿宋_GB2312"/>
          <w:sz w:val="32"/>
          <w:szCs w:val="32"/>
          <w:lang w:eastAsia="zh-CN"/>
        </w:rPr>
        <w:t>、公务员医疗补助缴费、</w:t>
      </w:r>
      <w:r>
        <w:rPr>
          <w:rFonts w:hint="eastAsia" w:eastAsia="仿宋_GB2312" w:cs="仿宋_GB2312"/>
          <w:sz w:val="32"/>
          <w:szCs w:val="32"/>
        </w:rPr>
        <w:t>其他社会保障缴费、住房公积金、其他工资福利支出、对个人和家庭的补助</w:t>
      </w:r>
      <w:r>
        <w:rPr>
          <w:rFonts w:hint="eastAsia" w:eastAsia="仿宋_GB2312" w:cs="仿宋_GB2312"/>
          <w:sz w:val="32"/>
          <w:szCs w:val="32"/>
          <w:lang w:eastAsia="zh-CN"/>
        </w:rPr>
        <w:t>、</w:t>
      </w:r>
      <w:r>
        <w:rPr>
          <w:rFonts w:hint="eastAsia" w:eastAsia="仿宋_GB2312" w:cs="仿宋_GB2312"/>
          <w:sz w:val="32"/>
          <w:szCs w:val="32"/>
        </w:rPr>
        <w:t>抚恤金、生活补助、医疗费补助、奖励金等。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85.53</w:t>
      </w:r>
      <w:r>
        <w:rPr>
          <w:rFonts w:hint="eastAsia" w:eastAsia="仿宋_GB2312" w:cs="仿宋_GB2312"/>
          <w:sz w:val="32"/>
          <w:szCs w:val="32"/>
        </w:rPr>
        <w:t>万元，主要包括：办公费、水费、电费、邮电费、物业管理费、差旅费、培训费、工会经费、福利费、公务用车运行维护费、其他商品和服务支出等。</w:t>
      </w:r>
    </w:p>
    <w:p w14:paraId="6ACE1731">
      <w:pPr>
        <w:spacing w:line="600" w:lineRule="exact"/>
        <w:ind w:firstLine="640"/>
        <w:outlineLvl w:val="1"/>
        <w:rPr>
          <w:rFonts w:hint="eastAsia" w:eastAsia="黑体"/>
          <w:sz w:val="32"/>
          <w:szCs w:val="32"/>
        </w:rPr>
      </w:pPr>
      <w:bookmarkStart w:id="40" w:name="_Toc15377215"/>
      <w:bookmarkStart w:id="41" w:name="_Toc15396609"/>
    </w:p>
    <w:p w14:paraId="35246DC5">
      <w:pPr>
        <w:spacing w:line="600" w:lineRule="exact"/>
        <w:ind w:firstLine="640"/>
        <w:outlineLvl w:val="1"/>
        <w:rPr>
          <w:rStyle w:val="29"/>
          <w:rFonts w:ascii="Times New Roman" w:hAnsi="Times New Roman" w:eastAsia="黑体"/>
          <w:b w:val="0"/>
        </w:rPr>
      </w:pPr>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40"/>
      <w:bookmarkEnd w:id="41"/>
    </w:p>
    <w:p w14:paraId="342FF912">
      <w:pPr>
        <w:spacing w:line="600" w:lineRule="exact"/>
        <w:ind w:firstLine="643" w:firstLineChars="200"/>
        <w:outlineLvl w:val="2"/>
        <w:rPr>
          <w:rFonts w:eastAsia="楷体_GB2312" w:cs="楷体_GB2312"/>
          <w:b/>
          <w:sz w:val="32"/>
          <w:szCs w:val="32"/>
        </w:rPr>
      </w:pPr>
      <w:bookmarkStart w:id="42" w:name="_Toc15377216"/>
      <w:r>
        <w:rPr>
          <w:rFonts w:hint="eastAsia" w:eastAsia="楷体_GB2312" w:cs="楷体_GB2312"/>
          <w:b/>
          <w:sz w:val="32"/>
          <w:szCs w:val="32"/>
        </w:rPr>
        <w:t>（一）财政拨款“三公”经费支出决算总体情况说明</w:t>
      </w:r>
      <w:bookmarkEnd w:id="42"/>
    </w:p>
    <w:p w14:paraId="2A654DBD">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10.42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%，较上年度减少</w:t>
      </w:r>
      <w:r>
        <w:rPr>
          <w:rFonts w:hint="eastAsia" w:eastAsia="仿宋_GB2312" w:cs="仿宋_GB2312"/>
          <w:sz w:val="32"/>
          <w:szCs w:val="32"/>
          <w:lang w:val="en-US" w:eastAsia="zh-CN"/>
        </w:rPr>
        <w:t>1.47</w:t>
      </w:r>
      <w:r>
        <w:rPr>
          <w:rFonts w:hint="eastAsia" w:eastAsia="仿宋_GB2312" w:cs="仿宋_GB2312"/>
          <w:sz w:val="32"/>
          <w:szCs w:val="32"/>
        </w:rPr>
        <w:t>万元，下降</w:t>
      </w:r>
      <w:r>
        <w:rPr>
          <w:rFonts w:hint="eastAsia" w:eastAsia="仿宋_GB2312" w:cs="仿宋_GB2312"/>
          <w:sz w:val="32"/>
          <w:szCs w:val="32"/>
          <w:lang w:val="en-US" w:eastAsia="zh-CN"/>
        </w:rPr>
        <w:t>12.4</w:t>
      </w:r>
      <w:r>
        <w:rPr>
          <w:rFonts w:hint="eastAsia" w:eastAsia="仿宋_GB2312" w:cs="仿宋_GB2312"/>
          <w:sz w:val="32"/>
          <w:szCs w:val="32"/>
        </w:rPr>
        <w:t>%。主要原因是</w:t>
      </w:r>
      <w:r>
        <w:rPr>
          <w:rFonts w:hint="eastAsia" w:ascii="仿宋_GB2312" w:eastAsia="仿宋_GB2312"/>
          <w:sz w:val="32"/>
          <w:szCs w:val="32"/>
          <w:lang w:eastAsia="zh-CN"/>
        </w:rPr>
        <w:t>厉行节约，减少开支</w:t>
      </w:r>
      <w:r>
        <w:rPr>
          <w:rFonts w:hint="eastAsia" w:ascii="仿宋_GB2312" w:eastAsia="仿宋_GB2312"/>
          <w:sz w:val="32"/>
          <w:szCs w:val="32"/>
        </w:rPr>
        <w:t>。</w:t>
      </w:r>
      <w:r>
        <w:rPr>
          <w:rFonts w:hint="eastAsia" w:ascii="仿宋" w:hAnsi="仿宋" w:eastAsia="仿宋"/>
          <w:sz w:val="32"/>
          <w:szCs w:val="32"/>
        </w:rPr>
        <w:t>决算数与预算数持平。</w:t>
      </w:r>
    </w:p>
    <w:p w14:paraId="30AF1052">
      <w:pPr>
        <w:spacing w:line="600" w:lineRule="exact"/>
        <w:ind w:firstLine="643" w:firstLineChars="200"/>
        <w:outlineLvl w:val="2"/>
        <w:rPr>
          <w:rFonts w:eastAsia="楷体_GB2312" w:cs="楷体_GB2312"/>
          <w:b/>
          <w:sz w:val="32"/>
          <w:szCs w:val="32"/>
        </w:rPr>
      </w:pPr>
      <w:bookmarkStart w:id="43" w:name="_Toc15377217"/>
      <w:r>
        <w:rPr>
          <w:rFonts w:hint="eastAsia" w:eastAsia="楷体_GB2312" w:cs="楷体_GB2312"/>
          <w:b/>
          <w:sz w:val="32"/>
          <w:szCs w:val="32"/>
        </w:rPr>
        <w:t>（二）财政拨款“三公”经费支出决算具体情况说明</w:t>
      </w:r>
      <w:bookmarkEnd w:id="43"/>
    </w:p>
    <w:p w14:paraId="13BA6675">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10.42</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%。具体情况如下：</w:t>
      </w:r>
    </w:p>
    <w:p w14:paraId="6644ACCD">
      <w:pPr>
        <w:pStyle w:val="2"/>
        <w:rPr>
          <w:rFonts w:hint="eastAsia" w:eastAsia="仿宋_GB2312" w:cs="仿宋_GB2312"/>
          <w:sz w:val="32"/>
          <w:szCs w:val="32"/>
        </w:rPr>
      </w:pPr>
      <w:r>
        <w:drawing>
          <wp:anchor distT="0" distB="0" distL="114300" distR="114300" simplePos="0" relativeHeight="251667456" behindDoc="0" locked="0" layoutInCell="1" allowOverlap="1">
            <wp:simplePos x="0" y="0"/>
            <wp:positionH relativeFrom="column">
              <wp:posOffset>1052195</wp:posOffset>
            </wp:positionH>
            <wp:positionV relativeFrom="paragraph">
              <wp:posOffset>142240</wp:posOffset>
            </wp:positionV>
            <wp:extent cx="3235325" cy="2237740"/>
            <wp:effectExtent l="4445" t="4445" r="17780" b="571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2DC78143">
      <w:pPr>
        <w:pStyle w:val="3"/>
        <w:rPr>
          <w:rFonts w:hint="eastAsia" w:eastAsia="仿宋_GB2312" w:cs="仿宋_GB2312"/>
          <w:sz w:val="32"/>
          <w:szCs w:val="32"/>
        </w:rPr>
      </w:pPr>
    </w:p>
    <w:p w14:paraId="21818EDC">
      <w:pPr>
        <w:pStyle w:val="3"/>
        <w:rPr>
          <w:rFonts w:hint="eastAsia" w:eastAsia="仿宋_GB2312" w:cs="仿宋_GB2312"/>
          <w:sz w:val="32"/>
          <w:szCs w:val="32"/>
        </w:rPr>
      </w:pPr>
    </w:p>
    <w:p w14:paraId="6C974F57">
      <w:pPr>
        <w:pStyle w:val="3"/>
        <w:rPr>
          <w:rFonts w:hint="eastAsia" w:eastAsia="仿宋_GB2312" w:cs="仿宋_GB2312"/>
          <w:sz w:val="32"/>
          <w:szCs w:val="32"/>
        </w:rPr>
      </w:pPr>
    </w:p>
    <w:p w14:paraId="3E2347C6">
      <w:pPr>
        <w:pStyle w:val="3"/>
        <w:rPr>
          <w:rFonts w:hint="eastAsia" w:eastAsia="仿宋_GB2312" w:cs="仿宋_GB2312"/>
          <w:sz w:val="32"/>
          <w:szCs w:val="32"/>
        </w:rPr>
      </w:pPr>
    </w:p>
    <w:p w14:paraId="52864287">
      <w:pPr>
        <w:spacing w:line="600" w:lineRule="exact"/>
        <w:ind w:firstLine="1600" w:firstLineChars="500"/>
        <w:rPr>
          <w:rFonts w:eastAsia="仿宋_GB2312" w:cs="仿宋_GB2312"/>
          <w:sz w:val="32"/>
          <w:szCs w:val="32"/>
        </w:rPr>
      </w:pPr>
      <w:r>
        <w:rPr>
          <w:rFonts w:hint="eastAsia" w:eastAsia="仿宋_GB2312" w:cs="仿宋_GB2312"/>
          <w:sz w:val="32"/>
          <w:szCs w:val="32"/>
        </w:rPr>
        <w:t>图7：财政拨款“三公”经费支出结构</w:t>
      </w:r>
    </w:p>
    <w:p w14:paraId="004A7C93">
      <w:pPr>
        <w:spacing w:line="600" w:lineRule="exact"/>
        <w:ind w:firstLine="640"/>
        <w:rPr>
          <w:rFonts w:hint="eastAsia"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人。因公出国（境）支出决算比上年度增加</w:t>
      </w:r>
      <w:r>
        <w:rPr>
          <w:rFonts w:hint="eastAsia" w:eastAsia="仿宋_GB2312" w:cs="仿宋_GB2312"/>
          <w:sz w:val="32"/>
          <w:szCs w:val="32"/>
          <w:lang w:val="en-US" w:eastAsia="zh-CN"/>
        </w:rPr>
        <w:t>0</w:t>
      </w:r>
      <w:r>
        <w:rPr>
          <w:rFonts w:hint="eastAsia" w:eastAsia="仿宋_GB2312" w:cs="仿宋_GB2312"/>
          <w:sz w:val="32"/>
          <w:szCs w:val="32"/>
        </w:rPr>
        <w:t>万元，增长</w:t>
      </w:r>
      <w:r>
        <w:rPr>
          <w:rFonts w:hint="eastAsia" w:eastAsia="仿宋_GB2312" w:cs="仿宋_GB2312"/>
          <w:sz w:val="32"/>
          <w:szCs w:val="32"/>
          <w:lang w:val="en-US" w:eastAsia="zh-CN"/>
        </w:rPr>
        <w:t>0</w:t>
      </w:r>
      <w:r>
        <w:rPr>
          <w:rFonts w:hint="eastAsia" w:eastAsia="仿宋_GB2312" w:cs="仿宋_GB2312"/>
          <w:sz w:val="32"/>
          <w:szCs w:val="32"/>
        </w:rPr>
        <w:t>%。</w:t>
      </w:r>
    </w:p>
    <w:p w14:paraId="10A1F9D7">
      <w:pPr>
        <w:spacing w:line="600" w:lineRule="exact"/>
        <w:ind w:firstLine="640"/>
        <w:rPr>
          <w:rFonts w:ascii="仿宋_GB2312" w:eastAsia="仿宋_GB2312"/>
          <w:b/>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10.42</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eastAsia" w:eastAsia="仿宋_GB2312" w:cs="仿宋_GB2312"/>
          <w:sz w:val="32"/>
          <w:szCs w:val="32"/>
          <w:lang w:val="en-US" w:eastAsia="zh-CN"/>
        </w:rPr>
        <w:t>1.47</w:t>
      </w:r>
      <w:r>
        <w:rPr>
          <w:rFonts w:hint="eastAsia" w:eastAsia="仿宋_GB2312" w:cs="仿宋_GB2312"/>
          <w:sz w:val="32"/>
          <w:szCs w:val="32"/>
        </w:rPr>
        <w:t>万元，下降</w:t>
      </w:r>
      <w:r>
        <w:rPr>
          <w:rFonts w:hint="eastAsia" w:eastAsia="仿宋_GB2312" w:cs="仿宋_GB2312"/>
          <w:sz w:val="32"/>
          <w:szCs w:val="32"/>
          <w:lang w:val="en-US" w:eastAsia="zh-CN"/>
        </w:rPr>
        <w:t>12.4</w:t>
      </w:r>
      <w:r>
        <w:rPr>
          <w:rFonts w:hint="eastAsia" w:eastAsia="仿宋_GB2312" w:cs="仿宋_GB2312"/>
          <w:sz w:val="32"/>
          <w:szCs w:val="32"/>
        </w:rPr>
        <w:t>%。主要原因是</w:t>
      </w:r>
      <w:r>
        <w:rPr>
          <w:rFonts w:hint="eastAsia" w:ascii="仿宋_GB2312" w:eastAsia="仿宋_GB2312"/>
          <w:sz w:val="32"/>
          <w:szCs w:val="32"/>
          <w:lang w:eastAsia="zh-CN"/>
        </w:rPr>
        <w:t>厉行节约，减少开支</w:t>
      </w:r>
      <w:r>
        <w:rPr>
          <w:rFonts w:hint="eastAsia" w:ascii="仿宋_GB2312" w:eastAsia="仿宋_GB2312"/>
          <w:sz w:val="32"/>
          <w:szCs w:val="32"/>
        </w:rPr>
        <w:t>。</w:t>
      </w:r>
    </w:p>
    <w:p w14:paraId="252CE76F">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辆。截至2025年12月31日，单位共有公务用车</w:t>
      </w:r>
      <w:r>
        <w:rPr>
          <w:rFonts w:hint="eastAsia" w:eastAsia="仿宋_GB2312" w:cs="仿宋_GB2312"/>
          <w:sz w:val="32"/>
          <w:szCs w:val="32"/>
          <w:lang w:val="en-US" w:eastAsia="zh-CN"/>
        </w:rPr>
        <w:t>6</w:t>
      </w:r>
      <w:r>
        <w:rPr>
          <w:rFonts w:hint="eastAsia" w:eastAsia="仿宋_GB2312" w:cs="仿宋_GB2312"/>
          <w:sz w:val="32"/>
          <w:szCs w:val="32"/>
        </w:rPr>
        <w:t>辆，其中：轿车</w:t>
      </w:r>
      <w:r>
        <w:rPr>
          <w:rFonts w:hint="eastAsia" w:eastAsia="仿宋_GB2312" w:cs="仿宋_GB2312"/>
          <w:sz w:val="32"/>
          <w:szCs w:val="32"/>
          <w:lang w:val="en-US" w:eastAsia="zh-CN"/>
        </w:rPr>
        <w:t>3</w:t>
      </w:r>
      <w:r>
        <w:rPr>
          <w:rFonts w:hint="eastAsia" w:eastAsia="仿宋_GB2312" w:cs="仿宋_GB2312"/>
          <w:sz w:val="32"/>
          <w:szCs w:val="32"/>
        </w:rPr>
        <w:t>辆、越野车</w:t>
      </w:r>
      <w:r>
        <w:rPr>
          <w:rFonts w:hint="eastAsia" w:eastAsia="仿宋_GB2312" w:cs="仿宋_GB2312"/>
          <w:sz w:val="32"/>
          <w:szCs w:val="32"/>
          <w:lang w:val="en-US" w:eastAsia="zh-CN"/>
        </w:rPr>
        <w:t>3</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2FC38642">
      <w:pPr>
        <w:spacing w:line="600" w:lineRule="exact"/>
        <w:ind w:firstLine="640"/>
        <w:rPr>
          <w:rFonts w:ascii="仿宋_GB2312" w:eastAsia="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10.42</w:t>
      </w:r>
      <w:r>
        <w:rPr>
          <w:rFonts w:hint="eastAsia" w:eastAsia="仿宋_GB2312" w:cs="仿宋_GB2312"/>
          <w:sz w:val="32"/>
          <w:szCs w:val="32"/>
        </w:rPr>
        <w:t>万元。主要用于</w:t>
      </w:r>
      <w:r>
        <w:rPr>
          <w:rFonts w:hint="eastAsia" w:ascii="仿宋_GB2312" w:eastAsia="仿宋_GB2312"/>
          <w:sz w:val="32"/>
          <w:szCs w:val="32"/>
        </w:rPr>
        <w:t>森林资源管理工作、日常管理工作等所需的公务用车燃料费、维修费、过路过桥费、保险费等支出。</w:t>
      </w:r>
    </w:p>
    <w:p w14:paraId="5BA288DB">
      <w:pPr>
        <w:spacing w:line="600" w:lineRule="exact"/>
        <w:ind w:firstLine="640"/>
        <w:rPr>
          <w:rFonts w:hint="eastAsia"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公务接待费支出决算比上年度增加</w:t>
      </w:r>
      <w:r>
        <w:rPr>
          <w:rFonts w:hint="eastAsia" w:eastAsia="仿宋_GB2312" w:cs="仿宋_GB2312"/>
          <w:sz w:val="32"/>
          <w:szCs w:val="32"/>
          <w:lang w:val="en-US" w:eastAsia="zh-CN"/>
        </w:rPr>
        <w:t>0</w:t>
      </w:r>
      <w:r>
        <w:rPr>
          <w:rFonts w:hint="eastAsia" w:eastAsia="仿宋_GB2312" w:cs="仿宋_GB2312"/>
          <w:sz w:val="32"/>
          <w:szCs w:val="32"/>
        </w:rPr>
        <w:t>万元，增长</w:t>
      </w:r>
      <w:r>
        <w:rPr>
          <w:rFonts w:hint="eastAsia" w:eastAsia="仿宋_GB2312" w:cs="仿宋_GB2312"/>
          <w:sz w:val="32"/>
          <w:szCs w:val="32"/>
          <w:lang w:val="en-US" w:eastAsia="zh-CN"/>
        </w:rPr>
        <w:t>0</w:t>
      </w:r>
      <w:r>
        <w:rPr>
          <w:rFonts w:hint="eastAsia" w:eastAsia="仿宋_GB2312" w:cs="仿宋_GB2312"/>
          <w:sz w:val="32"/>
          <w:szCs w:val="32"/>
        </w:rPr>
        <w:t>%。</w:t>
      </w:r>
    </w:p>
    <w:p w14:paraId="04F97995">
      <w:pPr>
        <w:spacing w:line="600" w:lineRule="exact"/>
        <w:ind w:firstLine="640"/>
        <w:rPr>
          <w:rFonts w:eastAsia="仿宋_GB2312" w:cs="仿宋_GB2312"/>
          <w:sz w:val="32"/>
          <w:szCs w:val="32"/>
        </w:rPr>
      </w:pPr>
      <w:r>
        <w:rPr>
          <w:rFonts w:hint="eastAsia" w:eastAsia="仿宋_GB2312" w:cs="仿宋_GB2312"/>
          <w:sz w:val="32"/>
          <w:szCs w:val="32"/>
        </w:rPr>
        <w:t>其中：国内公务接待支出</w:t>
      </w:r>
      <w:r>
        <w:rPr>
          <w:rFonts w:hint="eastAsia" w:eastAsia="仿宋_GB2312" w:cs="仿宋_GB2312"/>
          <w:sz w:val="32"/>
          <w:szCs w:val="32"/>
          <w:lang w:val="en-US" w:eastAsia="zh-CN"/>
        </w:rPr>
        <w:t>0</w:t>
      </w:r>
      <w:r>
        <w:rPr>
          <w:rFonts w:hint="eastAsia" w:eastAsia="仿宋_GB2312" w:cs="仿宋_GB2312"/>
          <w:sz w:val="32"/>
          <w:szCs w:val="32"/>
        </w:rPr>
        <w:t>万元。国内公务接待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p>
    <w:p w14:paraId="29CD79CD">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val="en-US" w:eastAsia="zh-CN"/>
        </w:rPr>
        <w:t>0</w:t>
      </w:r>
      <w:r>
        <w:rPr>
          <w:rFonts w:hint="eastAsia" w:eastAsia="仿宋_GB2312" w:cs="仿宋_GB2312"/>
          <w:sz w:val="32"/>
          <w:szCs w:val="32"/>
        </w:rPr>
        <w:t>。外事接待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p>
    <w:p w14:paraId="65ADDA0C">
      <w:pPr>
        <w:spacing w:line="600" w:lineRule="exact"/>
        <w:ind w:firstLine="640"/>
        <w:outlineLvl w:val="1"/>
        <w:rPr>
          <w:rFonts w:hint="eastAsia" w:eastAsia="黑体"/>
          <w:sz w:val="32"/>
          <w:szCs w:val="32"/>
        </w:rPr>
      </w:pPr>
      <w:bookmarkStart w:id="44" w:name="_Toc15377218"/>
      <w:bookmarkStart w:id="45" w:name="_Toc15396610"/>
    </w:p>
    <w:p w14:paraId="5881D6CC">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4"/>
      <w:bookmarkEnd w:id="45"/>
    </w:p>
    <w:p w14:paraId="25C21D52">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%。与上年度相比，政府性基金预算财政拨款支出增加</w:t>
      </w:r>
      <w:r>
        <w:rPr>
          <w:rFonts w:hint="eastAsia" w:eastAsia="仿宋_GB2312" w:cs="仿宋_GB2312"/>
          <w:sz w:val="32"/>
          <w:szCs w:val="32"/>
          <w:lang w:val="en-US" w:eastAsia="zh-CN"/>
        </w:rPr>
        <w:t>0</w:t>
      </w:r>
      <w:r>
        <w:rPr>
          <w:rFonts w:hint="eastAsia" w:eastAsia="仿宋_GB2312" w:cs="仿宋_GB2312"/>
          <w:sz w:val="32"/>
          <w:szCs w:val="32"/>
        </w:rPr>
        <w:t>万元，增长</w:t>
      </w:r>
      <w:r>
        <w:rPr>
          <w:rFonts w:hint="eastAsia" w:eastAsia="仿宋_GB2312" w:cs="仿宋_GB2312"/>
          <w:sz w:val="32"/>
          <w:szCs w:val="32"/>
          <w:lang w:val="en-US" w:eastAsia="zh-CN"/>
        </w:rPr>
        <w:t>0</w:t>
      </w:r>
      <w:r>
        <w:rPr>
          <w:rFonts w:hint="eastAsia" w:eastAsia="仿宋_GB2312" w:cs="仿宋_GB2312"/>
          <w:sz w:val="32"/>
          <w:szCs w:val="32"/>
        </w:rPr>
        <w:t>%。</w:t>
      </w:r>
    </w:p>
    <w:p w14:paraId="26721884">
      <w:pPr>
        <w:spacing w:line="600" w:lineRule="exact"/>
        <w:ind w:left="630"/>
        <w:outlineLvl w:val="1"/>
        <w:rPr>
          <w:rStyle w:val="29"/>
          <w:rFonts w:hint="eastAsia" w:ascii="Times New Roman" w:hAnsi="Times New Roman" w:eastAsia="黑体"/>
          <w:b w:val="0"/>
        </w:rPr>
      </w:pPr>
      <w:bookmarkStart w:id="46" w:name="_Toc15396611"/>
      <w:bookmarkStart w:id="47" w:name="_Toc15377219"/>
    </w:p>
    <w:p w14:paraId="12496011">
      <w:pPr>
        <w:spacing w:line="600" w:lineRule="exact"/>
        <w:ind w:left="630"/>
        <w:outlineLvl w:val="1"/>
        <w:rPr>
          <w:rStyle w:val="29"/>
          <w:rFonts w:ascii="Times New Roman" w:hAnsi="Times New Roman" w:eastAsia="黑体"/>
          <w:b w:val="0"/>
        </w:rPr>
      </w:pPr>
      <w:r>
        <w:rPr>
          <w:rStyle w:val="29"/>
          <w:rFonts w:hint="eastAsia" w:ascii="Times New Roman" w:hAnsi="Times New Roman" w:eastAsia="黑体"/>
          <w:b w:val="0"/>
        </w:rPr>
        <w:t>九、国有资本经营预算支出决算情况说明</w:t>
      </w:r>
      <w:bookmarkEnd w:id="46"/>
      <w:bookmarkEnd w:id="47"/>
    </w:p>
    <w:p w14:paraId="1666743E">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%。与上年度相比，国有资本经营预算财政拨款支出增加</w:t>
      </w:r>
      <w:r>
        <w:rPr>
          <w:rFonts w:hint="eastAsia" w:eastAsia="仿宋_GB2312" w:cs="仿宋_GB2312"/>
          <w:sz w:val="32"/>
          <w:szCs w:val="32"/>
          <w:lang w:val="en-US" w:eastAsia="zh-CN"/>
        </w:rPr>
        <w:t>0</w:t>
      </w:r>
      <w:r>
        <w:rPr>
          <w:rFonts w:hint="eastAsia" w:eastAsia="仿宋_GB2312" w:cs="仿宋_GB2312"/>
          <w:sz w:val="32"/>
          <w:szCs w:val="32"/>
        </w:rPr>
        <w:t>万元，增长</w:t>
      </w:r>
      <w:r>
        <w:rPr>
          <w:rFonts w:hint="eastAsia" w:eastAsia="仿宋_GB2312" w:cs="仿宋_GB2312"/>
          <w:sz w:val="32"/>
          <w:szCs w:val="32"/>
          <w:lang w:val="en-US" w:eastAsia="zh-CN"/>
        </w:rPr>
        <w:t>0</w:t>
      </w:r>
      <w:r>
        <w:rPr>
          <w:rFonts w:hint="eastAsia" w:eastAsia="仿宋_GB2312" w:cs="仿宋_GB2312"/>
          <w:sz w:val="32"/>
          <w:szCs w:val="32"/>
        </w:rPr>
        <w:t>%。</w:t>
      </w:r>
    </w:p>
    <w:p w14:paraId="323430EE">
      <w:pPr>
        <w:spacing w:line="600" w:lineRule="exact"/>
        <w:ind w:firstLine="640"/>
        <w:rPr>
          <w:rFonts w:eastAsia="仿宋_GB2312" w:cs="仿宋_GB2312"/>
          <w:sz w:val="32"/>
          <w:szCs w:val="32"/>
        </w:rPr>
      </w:pPr>
    </w:p>
    <w:p w14:paraId="4F76F8A4">
      <w:pPr>
        <w:spacing w:line="600" w:lineRule="exact"/>
        <w:ind w:left="630"/>
        <w:outlineLvl w:val="1"/>
        <w:rPr>
          <w:rStyle w:val="29"/>
          <w:rFonts w:ascii="Times New Roman" w:hAnsi="Times New Roman" w:eastAsia="黑体"/>
          <w:b w:val="0"/>
        </w:rPr>
      </w:pPr>
      <w:bookmarkStart w:id="48" w:name="_Toc15396612"/>
      <w:bookmarkStart w:id="49" w:name="_Toc15377221"/>
      <w:r>
        <w:rPr>
          <w:rStyle w:val="29"/>
          <w:rFonts w:hint="eastAsia" w:ascii="Times New Roman" w:hAnsi="Times New Roman" w:eastAsia="黑体"/>
          <w:b w:val="0"/>
        </w:rPr>
        <w:t>十、其他重要事项的情况说明</w:t>
      </w:r>
      <w:bookmarkEnd w:id="48"/>
      <w:bookmarkEnd w:id="49"/>
    </w:p>
    <w:p w14:paraId="67229C5E">
      <w:pPr>
        <w:spacing w:line="600" w:lineRule="exact"/>
        <w:ind w:firstLine="643" w:firstLineChars="200"/>
        <w:outlineLvl w:val="2"/>
        <w:rPr>
          <w:rFonts w:eastAsia="楷体_GB2312" w:cs="楷体_GB2312"/>
          <w:b/>
          <w:sz w:val="32"/>
          <w:szCs w:val="32"/>
        </w:rPr>
      </w:pPr>
      <w:bookmarkStart w:id="50" w:name="_Toc15377222"/>
      <w:r>
        <w:rPr>
          <w:rFonts w:hint="eastAsia" w:eastAsia="楷体_GB2312" w:cs="楷体_GB2312"/>
          <w:b/>
          <w:sz w:val="32"/>
          <w:szCs w:val="32"/>
        </w:rPr>
        <w:t>（一）机关运行经费支出情况</w:t>
      </w:r>
      <w:bookmarkEnd w:id="50"/>
    </w:p>
    <w:p w14:paraId="4E4A94C4">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eastAsia="仿宋_GB2312"/>
          <w:sz w:val="32"/>
          <w:szCs w:val="32"/>
        </w:rPr>
        <w:t>攀枝花市金沙国有林场</w:t>
      </w:r>
      <w:r>
        <w:rPr>
          <w:rFonts w:hint="eastAsia" w:eastAsia="仿宋_GB2312" w:cs="仿宋_GB2312"/>
          <w:sz w:val="32"/>
          <w:szCs w:val="32"/>
        </w:rPr>
        <w:t>机关运行经费支出</w:t>
      </w:r>
      <w:r>
        <w:rPr>
          <w:rFonts w:hint="eastAsia" w:eastAsia="仿宋_GB2312" w:cs="仿宋_GB2312"/>
          <w:sz w:val="32"/>
          <w:szCs w:val="32"/>
          <w:lang w:val="en-US" w:eastAsia="zh-CN"/>
        </w:rPr>
        <w:t>0</w:t>
      </w:r>
      <w:r>
        <w:rPr>
          <w:rFonts w:hint="eastAsia" w:eastAsia="仿宋_GB2312" w:cs="仿宋_GB2312"/>
          <w:sz w:val="32"/>
          <w:szCs w:val="32"/>
        </w:rPr>
        <w:t>万元，与上年度决算数持平。</w:t>
      </w:r>
    </w:p>
    <w:p w14:paraId="7B24587D">
      <w:pPr>
        <w:spacing w:line="600" w:lineRule="exact"/>
        <w:ind w:firstLine="643" w:firstLineChars="200"/>
        <w:outlineLvl w:val="2"/>
        <w:rPr>
          <w:rFonts w:eastAsia="楷体_GB2312" w:cs="楷体_GB2312"/>
          <w:b/>
          <w:sz w:val="32"/>
          <w:szCs w:val="32"/>
        </w:rPr>
      </w:pPr>
      <w:bookmarkStart w:id="51" w:name="_Toc15377223"/>
      <w:r>
        <w:rPr>
          <w:rFonts w:hint="eastAsia" w:eastAsia="楷体_GB2312" w:cs="楷体_GB2312"/>
          <w:b/>
          <w:sz w:val="32"/>
          <w:szCs w:val="32"/>
        </w:rPr>
        <w:t>（二）政府采购支出情况</w:t>
      </w:r>
      <w:bookmarkEnd w:id="51"/>
    </w:p>
    <w:p w14:paraId="32498CF1">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eastAsia="仿宋_GB2312"/>
          <w:sz w:val="32"/>
          <w:szCs w:val="32"/>
        </w:rPr>
        <w:t>攀枝花市金沙国有林场</w:t>
      </w:r>
      <w:r>
        <w:rPr>
          <w:rFonts w:hint="eastAsia" w:eastAsia="仿宋_GB2312" w:cs="仿宋_GB2312"/>
          <w:sz w:val="32"/>
          <w:szCs w:val="32"/>
        </w:rPr>
        <w:t>政府采购支出总额</w:t>
      </w:r>
      <w:r>
        <w:rPr>
          <w:rFonts w:hint="eastAsia" w:eastAsia="仿宋_GB2312" w:cs="仿宋_GB2312"/>
          <w:sz w:val="32"/>
          <w:szCs w:val="32"/>
          <w:lang w:val="en-US" w:eastAsia="zh-CN"/>
        </w:rPr>
        <w:t>6.96</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6.96</w:t>
      </w:r>
      <w:r>
        <w:rPr>
          <w:rFonts w:hint="eastAsia" w:eastAsia="仿宋_GB2312" w:cs="仿宋_GB2312"/>
          <w:sz w:val="32"/>
          <w:szCs w:val="32"/>
        </w:rPr>
        <w:t>万元。主要用于</w:t>
      </w:r>
      <w:r>
        <w:rPr>
          <w:rFonts w:hint="eastAsia" w:ascii="仿宋_GB2312" w:eastAsia="仿宋_GB2312"/>
          <w:sz w:val="32"/>
          <w:szCs w:val="32"/>
        </w:rPr>
        <w:t>森林资源管理工作、日常管理工作等所需的公务用车燃料费、维修费、保险费等支出</w:t>
      </w:r>
      <w:r>
        <w:rPr>
          <w:rFonts w:hint="eastAsia" w:eastAsia="仿宋_GB2312" w:cs="仿宋_GB2312"/>
          <w:sz w:val="32"/>
          <w:szCs w:val="32"/>
        </w:rPr>
        <w:t>。授予中小企业合同金额</w:t>
      </w:r>
      <w:r>
        <w:rPr>
          <w:rFonts w:hint="eastAsia" w:eastAsia="仿宋_GB2312" w:cs="仿宋_GB2312"/>
          <w:sz w:val="32"/>
          <w:szCs w:val="32"/>
          <w:lang w:val="en-US" w:eastAsia="zh-CN"/>
        </w:rPr>
        <w:t>5.86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84.2</w:t>
      </w:r>
      <w:r>
        <w:rPr>
          <w:rFonts w:hint="eastAsia" w:eastAsia="仿宋_GB2312" w:cs="仿宋_GB2312"/>
          <w:sz w:val="32"/>
          <w:szCs w:val="32"/>
        </w:rPr>
        <w:t>%，其中：授予小微企业合同金额</w:t>
      </w:r>
      <w:r>
        <w:rPr>
          <w:rFonts w:hint="eastAsia" w:eastAsia="仿宋_GB2312" w:cs="仿宋_GB2312"/>
          <w:sz w:val="32"/>
          <w:szCs w:val="32"/>
          <w:lang w:val="en-US" w:eastAsia="zh-CN"/>
        </w:rPr>
        <w:t>2.21</w:t>
      </w:r>
      <w:r>
        <w:rPr>
          <w:rFonts w:hint="eastAsia" w:eastAsia="仿宋_GB2312" w:cs="仿宋_GB2312"/>
          <w:sz w:val="32"/>
          <w:szCs w:val="32"/>
        </w:rPr>
        <w:t>万元，占政府采购支出总额的</w:t>
      </w:r>
      <w:r>
        <w:rPr>
          <w:rFonts w:hint="eastAsia" w:eastAsia="仿宋_GB2312" w:cs="仿宋_GB2312"/>
          <w:sz w:val="32"/>
          <w:szCs w:val="32"/>
          <w:lang w:val="en-US" w:eastAsia="zh-CN"/>
        </w:rPr>
        <w:t>31.8</w:t>
      </w:r>
      <w:r>
        <w:rPr>
          <w:rFonts w:hint="eastAsia" w:eastAsia="仿宋_GB2312" w:cs="仿宋_GB2312"/>
          <w:sz w:val="32"/>
          <w:szCs w:val="32"/>
        </w:rPr>
        <w:t>%。</w:t>
      </w:r>
    </w:p>
    <w:p w14:paraId="3D541807">
      <w:pPr>
        <w:spacing w:line="600" w:lineRule="exact"/>
        <w:ind w:firstLine="643" w:firstLineChars="200"/>
        <w:outlineLvl w:val="2"/>
        <w:rPr>
          <w:rFonts w:eastAsia="楷体_GB2312" w:cs="楷体_GB2312"/>
          <w:b/>
          <w:sz w:val="32"/>
          <w:szCs w:val="32"/>
        </w:rPr>
      </w:pPr>
      <w:bookmarkStart w:id="52" w:name="_Toc15377224"/>
      <w:r>
        <w:rPr>
          <w:rFonts w:hint="eastAsia" w:eastAsia="楷体_GB2312" w:cs="楷体_GB2312"/>
          <w:b/>
          <w:sz w:val="32"/>
          <w:szCs w:val="32"/>
        </w:rPr>
        <w:t>（三）国有资产占有使用情况</w:t>
      </w:r>
      <w:bookmarkEnd w:id="52"/>
    </w:p>
    <w:p w14:paraId="262FB5A5">
      <w:pPr>
        <w:spacing w:line="600" w:lineRule="exact"/>
        <w:ind w:firstLine="640"/>
        <w:rPr>
          <w:rFonts w:hint="eastAsia" w:eastAsia="仿宋_GB2312" w:cs="仿宋_GB2312"/>
          <w:sz w:val="32"/>
          <w:szCs w:val="32"/>
        </w:rPr>
      </w:pPr>
      <w:r>
        <w:rPr>
          <w:rFonts w:hint="eastAsia" w:eastAsia="仿宋_GB2312" w:cs="仿宋_GB2312"/>
          <w:sz w:val="32"/>
          <w:szCs w:val="32"/>
        </w:rPr>
        <w:t>截至2025年12月31日，</w:t>
      </w:r>
      <w:r>
        <w:rPr>
          <w:rFonts w:hint="eastAsia" w:ascii="仿宋_GB2312" w:eastAsia="仿宋_GB2312"/>
          <w:sz w:val="32"/>
          <w:szCs w:val="32"/>
        </w:rPr>
        <w:t>攀枝花市金沙国有林场</w:t>
      </w:r>
      <w:r>
        <w:rPr>
          <w:rFonts w:hint="eastAsia" w:eastAsia="仿宋_GB2312" w:cs="仿宋_GB2312"/>
          <w:sz w:val="32"/>
          <w:szCs w:val="32"/>
        </w:rPr>
        <w:t>共有车辆</w:t>
      </w:r>
      <w:r>
        <w:rPr>
          <w:rFonts w:hint="eastAsia" w:eastAsia="仿宋_GB2312" w:cs="仿宋_GB2312"/>
          <w:sz w:val="32"/>
          <w:szCs w:val="32"/>
          <w:lang w:val="en-US" w:eastAsia="zh-CN"/>
        </w:rPr>
        <w:t>6</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w:t>
      </w:r>
      <w:r>
        <w:rPr>
          <w:rFonts w:hint="eastAsia" w:ascii="仿宋_GB2312" w:eastAsia="仿宋_GB2312"/>
          <w:sz w:val="32"/>
          <w:szCs w:val="32"/>
        </w:rPr>
        <w:t>其他用车</w:t>
      </w:r>
      <w:r>
        <w:rPr>
          <w:rFonts w:hint="eastAsia" w:ascii="仿宋_GB2312" w:eastAsia="仿宋_GB2312"/>
          <w:sz w:val="32"/>
          <w:szCs w:val="32"/>
          <w:lang w:val="en-US" w:eastAsia="zh-CN"/>
        </w:rPr>
        <w:t>6</w:t>
      </w:r>
      <w:r>
        <w:rPr>
          <w:rFonts w:hint="eastAsia" w:ascii="仿宋_GB2312" w:eastAsia="仿宋_GB2312"/>
          <w:sz w:val="32"/>
          <w:szCs w:val="32"/>
        </w:rPr>
        <w:t>辆，其他用车</w:t>
      </w:r>
      <w:r>
        <w:rPr>
          <w:rFonts w:hint="eastAsia" w:ascii="仿宋_GB2312" w:eastAsia="仿宋_GB2312"/>
          <w:sz w:val="32"/>
          <w:szCs w:val="32"/>
          <w:lang w:eastAsia="zh-CN"/>
        </w:rPr>
        <w:t>主要</w:t>
      </w:r>
      <w:r>
        <w:rPr>
          <w:rFonts w:hint="eastAsia" w:ascii="仿宋_GB2312" w:eastAsia="仿宋_GB2312"/>
          <w:sz w:val="32"/>
          <w:szCs w:val="32"/>
        </w:rPr>
        <w:t>用于森林资源管理、森林防灭火、国有资产资源管理和维护等工作。</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1E373B0D">
      <w:pPr>
        <w:pStyle w:val="2"/>
        <w:rPr>
          <w:rFonts w:hint="eastAsia" w:eastAsia="仿宋_GB2312" w:cs="仿宋_GB2312"/>
          <w:sz w:val="32"/>
          <w:szCs w:val="32"/>
        </w:rPr>
      </w:pPr>
    </w:p>
    <w:p w14:paraId="3E64BE47">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50DB6466">
      <w:pPr>
        <w:spacing w:line="600" w:lineRule="exact"/>
        <w:ind w:firstLine="640" w:firstLineChars="200"/>
        <w:rPr>
          <w:rFonts w:eastAsia="仿宋_GB2312" w:cs="仿宋_GB2312"/>
          <w:sz w:val="32"/>
          <w:szCs w:val="32"/>
        </w:rPr>
      </w:pPr>
      <w:r>
        <w:rPr>
          <w:rFonts w:hint="eastAsia" w:eastAsia="仿宋_GB2312" w:cs="仿宋_GB2312"/>
          <w:sz w:val="32"/>
          <w:szCs w:val="32"/>
        </w:rPr>
        <w:t>根据预算绩效管理要求，</w:t>
      </w:r>
      <w:r>
        <w:rPr>
          <w:rFonts w:hint="eastAsia" w:ascii="仿宋_GB2312" w:eastAsia="仿宋_GB2312"/>
          <w:sz w:val="32"/>
          <w:szCs w:val="32"/>
        </w:rPr>
        <w:t>攀枝花市金沙国有林场</w:t>
      </w:r>
      <w:r>
        <w:rPr>
          <w:rFonts w:hint="eastAsia" w:eastAsia="仿宋_GB2312" w:cs="仿宋_GB2312"/>
          <w:sz w:val="32"/>
          <w:szCs w:val="32"/>
        </w:rPr>
        <w:t>在2025年度，组织对干坝塘生态修复养护与基础设施维护项目</w:t>
      </w:r>
      <w:r>
        <w:rPr>
          <w:rFonts w:hint="eastAsia" w:eastAsia="仿宋_GB2312" w:cs="仿宋_GB2312"/>
          <w:sz w:val="32"/>
          <w:szCs w:val="32"/>
          <w:lang w:eastAsia="zh-CN"/>
        </w:rPr>
        <w:t>、岔河苗圃基地建设项目</w:t>
      </w:r>
      <w:r>
        <w:rPr>
          <w:rFonts w:hint="eastAsia" w:eastAsia="仿宋_GB2312" w:cs="仿宋_GB2312"/>
          <w:sz w:val="32"/>
          <w:szCs w:val="32"/>
        </w:rPr>
        <w:t>等</w:t>
      </w:r>
      <w:r>
        <w:rPr>
          <w:rFonts w:hint="eastAsia" w:eastAsia="仿宋_GB2312" w:cs="仿宋_GB2312"/>
          <w:sz w:val="32"/>
          <w:szCs w:val="32"/>
          <w:lang w:val="en-US" w:eastAsia="zh-CN"/>
        </w:rPr>
        <w:t>10</w:t>
      </w:r>
      <w:r>
        <w:rPr>
          <w:rFonts w:hint="eastAsia" w:eastAsia="仿宋_GB2312" w:cs="仿宋_GB2312"/>
          <w:sz w:val="32"/>
          <w:szCs w:val="32"/>
        </w:rPr>
        <w:t>个项目涉及金额</w:t>
      </w:r>
      <w:r>
        <w:rPr>
          <w:rFonts w:hint="eastAsia" w:eastAsia="仿宋_GB2312" w:cs="仿宋_GB2312"/>
          <w:sz w:val="32"/>
          <w:szCs w:val="32"/>
          <w:lang w:val="en-US" w:eastAsia="zh-CN"/>
        </w:rPr>
        <w:t>909.72</w:t>
      </w:r>
      <w:r>
        <w:rPr>
          <w:rFonts w:hint="eastAsia" w:eastAsia="仿宋_GB2312" w:cs="仿宋_GB2312"/>
          <w:sz w:val="32"/>
          <w:szCs w:val="32"/>
        </w:rPr>
        <w:t>万元开展了事前绩效评估，对</w:t>
      </w:r>
      <w:r>
        <w:rPr>
          <w:rFonts w:hint="eastAsia" w:eastAsia="仿宋_GB2312" w:cs="仿宋_GB2312"/>
          <w:sz w:val="32"/>
          <w:szCs w:val="32"/>
          <w:lang w:val="en-US" w:eastAsia="zh-CN"/>
        </w:rPr>
        <w:t>10</w:t>
      </w:r>
      <w:r>
        <w:rPr>
          <w:rFonts w:hint="eastAsia" w:eastAsia="仿宋_GB2312" w:cs="仿宋_GB2312"/>
          <w:sz w:val="32"/>
          <w:szCs w:val="32"/>
        </w:rPr>
        <w:t>个项目编制了绩效目标</w:t>
      </w:r>
      <w:r>
        <w:rPr>
          <w:rFonts w:hint="eastAsia" w:eastAsia="仿宋_GB2312" w:cs="仿宋_GB2312"/>
          <w:sz w:val="32"/>
          <w:szCs w:val="32"/>
          <w:lang w:eastAsia="zh-CN"/>
        </w:rPr>
        <w:t>，在</w:t>
      </w:r>
      <w:r>
        <w:rPr>
          <w:rFonts w:hint="eastAsia" w:eastAsia="仿宋_GB2312" w:cs="仿宋_GB2312"/>
          <w:sz w:val="32"/>
          <w:szCs w:val="32"/>
        </w:rPr>
        <w:t>预算执行过程中，选取</w:t>
      </w:r>
      <w:r>
        <w:rPr>
          <w:rFonts w:hint="eastAsia" w:eastAsia="仿宋_GB2312" w:cs="仿宋_GB2312"/>
          <w:sz w:val="32"/>
          <w:szCs w:val="32"/>
          <w:lang w:val="en-US" w:eastAsia="zh-CN"/>
        </w:rPr>
        <w:t>10</w:t>
      </w:r>
      <w:r>
        <w:rPr>
          <w:rFonts w:hint="eastAsia" w:eastAsia="仿宋_GB2312" w:cs="仿宋_GB2312"/>
          <w:sz w:val="32"/>
          <w:szCs w:val="32"/>
        </w:rPr>
        <w:t>个项目开展绩效监控</w:t>
      </w:r>
      <w:r>
        <w:rPr>
          <w:rFonts w:hint="eastAsia" w:eastAsia="仿宋_GB2312" w:cs="仿宋_GB2312"/>
          <w:sz w:val="32"/>
          <w:szCs w:val="32"/>
          <w:lang w:eastAsia="zh-CN"/>
        </w:rPr>
        <w:t>，</w:t>
      </w:r>
      <w:r>
        <w:rPr>
          <w:rFonts w:hint="eastAsia" w:ascii="仿宋_GB2312" w:hAnsi="Times New Roman" w:eastAsia="仿宋_GB2312"/>
          <w:sz w:val="32"/>
          <w:szCs w:val="32"/>
        </w:rPr>
        <w:t>绩效自评表详见第四部分附件。</w:t>
      </w:r>
    </w:p>
    <w:p w14:paraId="559A26FF">
      <w:pPr>
        <w:pStyle w:val="3"/>
        <w:ind w:left="0" w:leftChars="0" w:firstLine="0" w:firstLineChars="0"/>
        <w:rPr>
          <w:rFonts w:eastAsia="仿宋_GB2312" w:cs="仿宋_GB2312"/>
          <w:sz w:val="32"/>
          <w:szCs w:val="32"/>
        </w:rPr>
      </w:pPr>
    </w:p>
    <w:p w14:paraId="18975682">
      <w:pPr>
        <w:pStyle w:val="3"/>
        <w:ind w:left="0" w:leftChars="0" w:firstLine="0" w:firstLineChars="0"/>
        <w:rPr>
          <w:rFonts w:eastAsia="仿宋_GB2312" w:cs="仿宋_GB2312"/>
          <w:sz w:val="32"/>
          <w:szCs w:val="32"/>
        </w:rPr>
      </w:pPr>
    </w:p>
    <w:p w14:paraId="0B1DFE0C">
      <w:pPr>
        <w:pStyle w:val="3"/>
        <w:ind w:left="0" w:leftChars="0" w:firstLine="0" w:firstLineChars="0"/>
        <w:rPr>
          <w:rFonts w:eastAsia="仿宋_GB2312" w:cs="仿宋_GB2312"/>
          <w:sz w:val="32"/>
          <w:szCs w:val="32"/>
        </w:rPr>
      </w:pPr>
    </w:p>
    <w:p w14:paraId="36780325">
      <w:pPr>
        <w:pStyle w:val="3"/>
        <w:ind w:left="0" w:leftChars="0" w:firstLine="0" w:firstLineChars="0"/>
        <w:rPr>
          <w:rFonts w:eastAsia="仿宋_GB2312" w:cs="仿宋_GB2312"/>
          <w:sz w:val="32"/>
          <w:szCs w:val="32"/>
        </w:rPr>
      </w:pPr>
    </w:p>
    <w:p w14:paraId="5C500B35">
      <w:pPr>
        <w:pStyle w:val="3"/>
        <w:ind w:left="0" w:leftChars="0" w:firstLine="0" w:firstLineChars="0"/>
        <w:rPr>
          <w:rFonts w:eastAsia="仿宋_GB2312" w:cs="仿宋_GB2312"/>
          <w:sz w:val="32"/>
          <w:szCs w:val="32"/>
        </w:rPr>
      </w:pPr>
    </w:p>
    <w:p w14:paraId="20C8E18C">
      <w:pPr>
        <w:pStyle w:val="3"/>
        <w:ind w:left="0" w:leftChars="0" w:firstLine="0" w:firstLineChars="0"/>
        <w:rPr>
          <w:rFonts w:eastAsia="仿宋_GB2312" w:cs="仿宋_GB2312"/>
          <w:sz w:val="32"/>
          <w:szCs w:val="32"/>
        </w:rPr>
      </w:pPr>
    </w:p>
    <w:p w14:paraId="5D93E4B0">
      <w:pPr>
        <w:pStyle w:val="3"/>
        <w:ind w:left="0" w:leftChars="0" w:firstLine="0" w:firstLineChars="0"/>
        <w:rPr>
          <w:rFonts w:eastAsia="仿宋_GB2312" w:cs="仿宋_GB2312"/>
          <w:sz w:val="32"/>
          <w:szCs w:val="32"/>
        </w:rPr>
      </w:pPr>
    </w:p>
    <w:p w14:paraId="1A4936CB">
      <w:pPr>
        <w:pStyle w:val="3"/>
        <w:ind w:left="0" w:leftChars="0" w:firstLine="0" w:firstLineChars="0"/>
        <w:rPr>
          <w:rFonts w:eastAsia="仿宋_GB2312" w:cs="仿宋_GB2312"/>
          <w:sz w:val="32"/>
          <w:szCs w:val="32"/>
        </w:rPr>
      </w:pPr>
    </w:p>
    <w:p w14:paraId="0EF3D5AA">
      <w:pPr>
        <w:pStyle w:val="3"/>
        <w:ind w:left="0" w:leftChars="0" w:firstLine="0" w:firstLineChars="0"/>
        <w:rPr>
          <w:rFonts w:eastAsia="仿宋_GB2312" w:cs="仿宋_GB2312"/>
          <w:sz w:val="32"/>
          <w:szCs w:val="32"/>
        </w:rPr>
      </w:pPr>
    </w:p>
    <w:p w14:paraId="2C2E08BB">
      <w:pPr>
        <w:pStyle w:val="3"/>
        <w:ind w:left="0" w:leftChars="0" w:firstLine="0" w:firstLineChars="0"/>
        <w:rPr>
          <w:rFonts w:eastAsia="仿宋_GB2312" w:cs="仿宋_GB2312"/>
          <w:sz w:val="32"/>
          <w:szCs w:val="32"/>
        </w:rPr>
      </w:pPr>
    </w:p>
    <w:p w14:paraId="35E1443B">
      <w:pPr>
        <w:pStyle w:val="3"/>
        <w:ind w:left="0" w:leftChars="0" w:firstLine="0" w:firstLineChars="0"/>
        <w:rPr>
          <w:rFonts w:eastAsia="仿宋_GB2312" w:cs="仿宋_GB2312"/>
          <w:sz w:val="32"/>
          <w:szCs w:val="32"/>
        </w:rPr>
      </w:pPr>
    </w:p>
    <w:p w14:paraId="22D6D143">
      <w:pPr>
        <w:pStyle w:val="3"/>
        <w:ind w:left="0" w:leftChars="0" w:firstLine="0" w:firstLineChars="0"/>
        <w:rPr>
          <w:rFonts w:eastAsia="仿宋_GB2312" w:cs="仿宋_GB2312"/>
          <w:sz w:val="32"/>
          <w:szCs w:val="32"/>
        </w:rPr>
      </w:pPr>
    </w:p>
    <w:p w14:paraId="20DEE5B5">
      <w:pPr>
        <w:pStyle w:val="3"/>
        <w:ind w:left="0" w:leftChars="0" w:firstLine="0" w:firstLineChars="0"/>
        <w:rPr>
          <w:rFonts w:eastAsia="仿宋_GB2312" w:cs="仿宋_GB2312"/>
          <w:sz w:val="32"/>
          <w:szCs w:val="32"/>
        </w:rPr>
      </w:pPr>
    </w:p>
    <w:p w14:paraId="588A7EFA">
      <w:pPr>
        <w:pStyle w:val="3"/>
        <w:ind w:left="0" w:leftChars="0" w:firstLine="0" w:firstLineChars="0"/>
        <w:rPr>
          <w:rFonts w:eastAsia="仿宋_GB2312" w:cs="仿宋_GB2312"/>
          <w:sz w:val="32"/>
          <w:szCs w:val="32"/>
        </w:rPr>
      </w:pPr>
    </w:p>
    <w:p w14:paraId="24CE53EB">
      <w:pPr>
        <w:pStyle w:val="3"/>
        <w:ind w:left="0" w:leftChars="0" w:firstLine="0" w:firstLineChars="0"/>
        <w:rPr>
          <w:rFonts w:eastAsia="仿宋_GB2312" w:cs="仿宋_GB2312"/>
          <w:sz w:val="32"/>
          <w:szCs w:val="32"/>
        </w:rPr>
      </w:pPr>
    </w:p>
    <w:p w14:paraId="53A09E66">
      <w:pPr>
        <w:spacing w:line="600" w:lineRule="exact"/>
        <w:jc w:val="center"/>
        <w:outlineLvl w:val="0"/>
        <w:rPr>
          <w:rFonts w:eastAsia="黑体"/>
          <w:sz w:val="44"/>
          <w:szCs w:val="44"/>
        </w:rPr>
      </w:pPr>
      <w:bookmarkStart w:id="53" w:name="_Toc15377225"/>
      <w:bookmarkStart w:id="54" w:name="_Toc15396613"/>
      <w:r>
        <w:rPr>
          <w:rFonts w:hint="eastAsia" w:eastAsia="黑体"/>
          <w:sz w:val="44"/>
          <w:szCs w:val="44"/>
        </w:rPr>
        <w:t>第三部分  名词解释</w:t>
      </w:r>
      <w:bookmarkEnd w:id="53"/>
      <w:bookmarkEnd w:id="54"/>
    </w:p>
    <w:p w14:paraId="0D86D3B4">
      <w:pPr>
        <w:spacing w:line="600" w:lineRule="exact"/>
        <w:jc w:val="left"/>
        <w:rPr>
          <w:b/>
          <w:sz w:val="44"/>
          <w:szCs w:val="44"/>
        </w:rPr>
      </w:pPr>
    </w:p>
    <w:p w14:paraId="403EC15D">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71327427">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78E9D10F">
      <w:pPr>
        <w:spacing w:line="600" w:lineRule="exact"/>
        <w:ind w:firstLine="640"/>
        <w:rPr>
          <w:rFonts w:hint="eastAsia"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4D157CF1">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14:paraId="262C61E6">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7891B06E">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0FF67714">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6480987D">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74F5564C">
      <w:pPr>
        <w:pStyle w:val="26"/>
        <w:spacing w:line="560" w:lineRule="exact"/>
        <w:ind w:firstLine="640" w:firstLineChars="200"/>
        <w:rPr>
          <w:rFonts w:ascii="仿宋_GB2312" w:eastAsia="仿宋_GB2312"/>
          <w:color w:val="auto"/>
          <w:sz w:val="32"/>
          <w:szCs w:val="32"/>
        </w:rPr>
      </w:pPr>
      <w:r>
        <w:rPr>
          <w:rFonts w:hint="eastAsia" w:eastAsia="仿宋_GB2312" w:cs="仿宋_GB2312"/>
          <w:sz w:val="32"/>
          <w:szCs w:val="32"/>
        </w:rPr>
        <w:t>9.</w:t>
      </w:r>
      <w:r>
        <w:rPr>
          <w:rStyle w:val="17"/>
          <w:rFonts w:hint="default" w:ascii="Times New Roman" w:hAnsi="Times New Roman" w:eastAsia="仿宋" w:cs="Times New Roman"/>
          <w:b w:val="0"/>
          <w:bCs w:val="0"/>
          <w:sz w:val="32"/>
          <w:szCs w:val="32"/>
        </w:rPr>
        <w:t>社会保障和就业（类）</w:t>
      </w:r>
      <w:r>
        <w:rPr>
          <w:rFonts w:hint="default" w:ascii="Times New Roman" w:hAnsi="Times New Roman" w:eastAsia="仿宋" w:cs="Times New Roman"/>
          <w:b w:val="0"/>
          <w:bCs w:val="0"/>
          <w:sz w:val="32"/>
          <w:szCs w:val="32"/>
        </w:rPr>
        <w:t>行政事业单位养老支出</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事业单位离退休</w:t>
      </w:r>
      <w:r>
        <w:rPr>
          <w:rStyle w:val="17"/>
          <w:rFonts w:hint="default" w:ascii="Times New Roman" w:hAnsi="Times New Roman" w:eastAsia="仿宋" w:cs="Times New Roman"/>
          <w:b w:val="0"/>
          <w:bCs w:val="0"/>
          <w:sz w:val="32"/>
          <w:szCs w:val="32"/>
        </w:rPr>
        <w:t>（项）</w:t>
      </w:r>
      <w:r>
        <w:rPr>
          <w:rFonts w:hint="eastAsia" w:eastAsia="仿宋_GB2312" w:cs="仿宋_GB2312"/>
          <w:sz w:val="32"/>
          <w:szCs w:val="32"/>
        </w:rPr>
        <w:t>：指</w:t>
      </w:r>
      <w:r>
        <w:rPr>
          <w:rFonts w:hint="eastAsia" w:ascii="仿宋_GB2312" w:eastAsia="仿宋_GB2312"/>
          <w:color w:val="auto"/>
          <w:sz w:val="32"/>
          <w:szCs w:val="32"/>
        </w:rPr>
        <w:t>事业单位开支的离退休经费。</w:t>
      </w:r>
    </w:p>
    <w:p w14:paraId="4E525283">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10.</w:t>
      </w:r>
      <w:r>
        <w:rPr>
          <w:rStyle w:val="17"/>
          <w:rFonts w:hint="default" w:ascii="Times New Roman" w:hAnsi="Times New Roman" w:eastAsia="仿宋" w:cs="Times New Roman"/>
          <w:b w:val="0"/>
          <w:bCs w:val="0"/>
          <w:sz w:val="32"/>
          <w:szCs w:val="32"/>
        </w:rPr>
        <w:t>社会保障和就业（类）</w:t>
      </w:r>
      <w:r>
        <w:rPr>
          <w:rFonts w:hint="default" w:ascii="Times New Roman" w:hAnsi="Times New Roman" w:eastAsia="仿宋" w:cs="Times New Roman"/>
          <w:b w:val="0"/>
          <w:bCs w:val="0"/>
          <w:sz w:val="32"/>
          <w:szCs w:val="32"/>
        </w:rPr>
        <w:t>行政事业单位养老支出</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机关事业单位职业年金缴费支出</w:t>
      </w:r>
      <w:r>
        <w:rPr>
          <w:rStyle w:val="17"/>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反映机关事业单位实施养老保险制度由单位实际缴纳的职业年金支出（含职业年金补记支出）。</w:t>
      </w:r>
    </w:p>
    <w:p w14:paraId="072C9F33">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11.</w:t>
      </w:r>
      <w:r>
        <w:rPr>
          <w:rStyle w:val="17"/>
          <w:rFonts w:hint="default" w:ascii="Times New Roman" w:hAnsi="Times New Roman" w:eastAsia="仿宋" w:cs="Times New Roman"/>
          <w:b w:val="0"/>
          <w:bCs w:val="0"/>
          <w:sz w:val="32"/>
          <w:szCs w:val="32"/>
        </w:rPr>
        <w:t>社会保障和就业（类）</w:t>
      </w:r>
      <w:r>
        <w:rPr>
          <w:rFonts w:hint="default" w:ascii="Times New Roman" w:hAnsi="Times New Roman" w:eastAsia="仿宋" w:cs="Times New Roman"/>
          <w:b w:val="0"/>
          <w:bCs w:val="0"/>
          <w:sz w:val="32"/>
          <w:szCs w:val="32"/>
        </w:rPr>
        <w:t>抚恤</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死亡抚恤</w:t>
      </w:r>
      <w:r>
        <w:rPr>
          <w:rStyle w:val="17"/>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反映按规定用于烈士和牺牲、病故人员家属的一次性和定期抚恤金、丧葬补助费以及烈士褒扬金。</w:t>
      </w:r>
    </w:p>
    <w:p w14:paraId="7C88A9ED">
      <w:pPr>
        <w:spacing w:line="600" w:lineRule="exact"/>
        <w:ind w:firstLine="640"/>
        <w:rPr>
          <w:rFonts w:hint="eastAsia" w:eastAsia="仿宋" w:cs="仿宋_GB2312"/>
          <w:sz w:val="32"/>
          <w:szCs w:val="32"/>
          <w:lang w:eastAsia="zh-CN"/>
        </w:rPr>
      </w:pPr>
      <w:r>
        <w:rPr>
          <w:rFonts w:hint="eastAsia" w:eastAsia="仿宋_GB2312" w:cs="仿宋_GB2312"/>
          <w:sz w:val="32"/>
          <w:szCs w:val="32"/>
        </w:rPr>
        <w:t>12.</w:t>
      </w:r>
      <w:r>
        <w:rPr>
          <w:rFonts w:hint="default" w:ascii="Times New Roman" w:hAnsi="Times New Roman" w:eastAsia="仿宋" w:cs="Times New Roman"/>
          <w:b w:val="0"/>
          <w:bCs w:val="0"/>
          <w:sz w:val="32"/>
          <w:szCs w:val="32"/>
        </w:rPr>
        <w:t>节能环保支出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lang w:eastAsia="zh-CN"/>
        </w:rPr>
        <w:t>森林保护修复</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lang w:eastAsia="zh-CN"/>
        </w:rPr>
        <w:t>森林管护</w:t>
      </w:r>
      <w:r>
        <w:rPr>
          <w:rStyle w:val="17"/>
          <w:rFonts w:hint="default" w:ascii="Times New Roman" w:hAnsi="Times New Roman" w:eastAsia="仿宋" w:cs="Times New Roman"/>
          <w:b w:val="0"/>
          <w:bCs w:val="0"/>
          <w:sz w:val="32"/>
          <w:szCs w:val="32"/>
        </w:rPr>
        <w:t>（项）</w:t>
      </w:r>
      <w:r>
        <w:rPr>
          <w:rStyle w:val="17"/>
          <w:rFonts w:hint="eastAsia" w:eastAsia="仿宋" w:cs="Times New Roman"/>
          <w:b w:val="0"/>
          <w:bCs w:val="0"/>
          <w:sz w:val="32"/>
          <w:szCs w:val="32"/>
          <w:lang w:eastAsia="zh-CN"/>
        </w:rPr>
        <w:t>：</w:t>
      </w:r>
      <w:r>
        <w:rPr>
          <w:rFonts w:hint="eastAsia" w:eastAsia="仿宋_GB2312" w:cs="仿宋_GB2312"/>
          <w:sz w:val="32"/>
          <w:szCs w:val="32"/>
          <w:lang w:eastAsia="zh-CN"/>
        </w:rPr>
        <w:t>反映专项用于森林资源保护管理所发生的各项补助支出。</w:t>
      </w:r>
    </w:p>
    <w:p w14:paraId="51825E3C">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13.</w:t>
      </w:r>
      <w:r>
        <w:rPr>
          <w:rFonts w:hint="default" w:ascii="Times New Roman" w:hAnsi="Times New Roman" w:eastAsia="仿宋" w:cs="Times New Roman"/>
          <w:b w:val="0"/>
          <w:bCs w:val="0"/>
          <w:sz w:val="32"/>
          <w:szCs w:val="32"/>
        </w:rPr>
        <w:t>节能环保支出（类）</w:t>
      </w:r>
      <w:r>
        <w:rPr>
          <w:rFonts w:hint="default" w:ascii="Times New Roman" w:hAnsi="Times New Roman" w:eastAsia="仿宋" w:cs="Times New Roman"/>
          <w:b w:val="0"/>
          <w:bCs w:val="0"/>
          <w:sz w:val="32"/>
          <w:szCs w:val="32"/>
          <w:lang w:eastAsia="zh-CN"/>
        </w:rPr>
        <w:t>森林保护修复</w:t>
      </w:r>
      <w:r>
        <w:rPr>
          <w:rFonts w:hint="default" w:ascii="Times New Roman" w:hAnsi="Times New Roman" w:eastAsia="仿宋" w:cs="Times New Roman"/>
          <w:b w:val="0"/>
          <w:bCs w:val="0"/>
          <w:sz w:val="32"/>
          <w:szCs w:val="32"/>
        </w:rPr>
        <w:t>（款）社会保险补助（项）</w:t>
      </w:r>
      <w:r>
        <w:rPr>
          <w:rFonts w:hint="eastAsia" w:eastAsia="仿宋_GB2312" w:cs="仿宋_GB2312"/>
          <w:sz w:val="32"/>
          <w:szCs w:val="32"/>
        </w:rPr>
        <w:t>：</w:t>
      </w:r>
      <w:r>
        <w:rPr>
          <w:rFonts w:hint="eastAsia" w:eastAsia="仿宋_GB2312" w:cs="仿宋_GB2312"/>
          <w:sz w:val="32"/>
          <w:szCs w:val="32"/>
          <w:lang w:eastAsia="zh-CN"/>
        </w:rPr>
        <w:t>反映专项用于由于木材减产或停产造成实施单位应缴纳社会保险费缺口的补助支出。</w:t>
      </w:r>
    </w:p>
    <w:p w14:paraId="14EE03E6">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14.</w:t>
      </w:r>
      <w:r>
        <w:rPr>
          <w:rFonts w:hint="default" w:ascii="Times New Roman" w:hAnsi="Times New Roman" w:eastAsia="仿宋" w:cs="Times New Roman"/>
          <w:b w:val="0"/>
          <w:bCs w:val="0"/>
          <w:sz w:val="32"/>
          <w:szCs w:val="32"/>
        </w:rPr>
        <w:t>节能环保支出（类）</w:t>
      </w:r>
      <w:r>
        <w:rPr>
          <w:rFonts w:hint="default" w:ascii="Times New Roman" w:hAnsi="Times New Roman" w:eastAsia="仿宋" w:cs="Times New Roman"/>
          <w:b w:val="0"/>
          <w:bCs w:val="0"/>
          <w:sz w:val="32"/>
          <w:szCs w:val="32"/>
          <w:lang w:eastAsia="zh-CN"/>
        </w:rPr>
        <w:t>森林保护修复</w:t>
      </w:r>
      <w:r>
        <w:rPr>
          <w:rFonts w:hint="default" w:ascii="Times New Roman" w:hAnsi="Times New Roman" w:eastAsia="仿宋" w:cs="Times New Roman"/>
          <w:b w:val="0"/>
          <w:bCs w:val="0"/>
          <w:sz w:val="32"/>
          <w:szCs w:val="32"/>
        </w:rPr>
        <w:t>（款）</w:t>
      </w:r>
      <w:r>
        <w:rPr>
          <w:rFonts w:hint="eastAsia" w:eastAsia="仿宋" w:cs="Times New Roman"/>
          <w:b w:val="0"/>
          <w:bCs w:val="0"/>
          <w:sz w:val="32"/>
          <w:szCs w:val="32"/>
          <w:lang w:eastAsia="zh-CN"/>
        </w:rPr>
        <w:t>其他森林保护修复支出</w:t>
      </w:r>
      <w:r>
        <w:rPr>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反映除森林管护、社会保险补助、政策性社会性支出补助、天然林保护工程建设、停伐补助以外其他用于森林保护修复方面的支出。</w:t>
      </w:r>
    </w:p>
    <w:p w14:paraId="03CFFDD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eastAsia="仿宋_GB2312" w:cs="仿宋_GB2312"/>
          <w:sz w:val="32"/>
          <w:szCs w:val="32"/>
        </w:rPr>
      </w:pPr>
      <w:r>
        <w:rPr>
          <w:rFonts w:hint="eastAsia" w:eastAsia="仿宋_GB2312" w:cs="仿宋_GB2312"/>
          <w:sz w:val="32"/>
          <w:szCs w:val="32"/>
        </w:rPr>
        <w:t>15.</w:t>
      </w:r>
      <w:r>
        <w:rPr>
          <w:rFonts w:hint="default" w:ascii="Times New Roman" w:hAnsi="Times New Roman" w:eastAsia="仿宋" w:cs="Times New Roman"/>
          <w:b w:val="0"/>
          <w:bCs w:val="0"/>
          <w:sz w:val="32"/>
          <w:szCs w:val="32"/>
        </w:rPr>
        <w:t>农林水支出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林业和草原</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事业机构</w:t>
      </w:r>
      <w:r>
        <w:rPr>
          <w:rStyle w:val="17"/>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反映事业单位的基本支出，不包括行政单位（含实行公务员管理的事业单位）后勤服务中心等附属单位的支出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 xml:space="preserve">         </w:t>
      </w:r>
    </w:p>
    <w:p w14:paraId="155B5427">
      <w:pPr>
        <w:spacing w:line="600" w:lineRule="exact"/>
        <w:ind w:firstLine="640"/>
        <w:rPr>
          <w:rFonts w:hint="eastAsia" w:eastAsia="仿宋_GB2312" w:cs="仿宋_GB2312"/>
          <w:sz w:val="32"/>
          <w:szCs w:val="32"/>
        </w:rPr>
      </w:pPr>
      <w:r>
        <w:rPr>
          <w:rFonts w:hint="eastAsia" w:eastAsia="仿宋_GB2312" w:cs="仿宋_GB2312"/>
          <w:sz w:val="32"/>
          <w:szCs w:val="32"/>
        </w:rPr>
        <w:t>16.农林水支出（类）林业和草原（款）森林资源培育（项）：</w:t>
      </w:r>
      <w:r>
        <w:rPr>
          <w:rFonts w:hint="eastAsia" w:eastAsia="仿宋_GB2312" w:cs="仿宋_GB2312"/>
          <w:sz w:val="32"/>
          <w:szCs w:val="32"/>
          <w:lang w:eastAsia="zh-CN"/>
        </w:rPr>
        <w:t>反映育苗（种）、造林、抚育、退化林修复、义务植树以及生物质能源建设等方面的支出</w:t>
      </w:r>
      <w:r>
        <w:rPr>
          <w:rFonts w:hint="eastAsia" w:eastAsia="仿宋_GB2312" w:cs="仿宋_GB2312"/>
          <w:sz w:val="32"/>
          <w:szCs w:val="32"/>
        </w:rPr>
        <w:t>。</w:t>
      </w:r>
    </w:p>
    <w:p w14:paraId="13F7673C">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17.</w:t>
      </w:r>
      <w:r>
        <w:rPr>
          <w:rFonts w:hint="default" w:ascii="Times New Roman" w:hAnsi="Times New Roman" w:eastAsia="仿宋" w:cs="Times New Roman"/>
          <w:b w:val="0"/>
          <w:bCs w:val="0"/>
          <w:sz w:val="32"/>
          <w:szCs w:val="32"/>
        </w:rPr>
        <w:t>农林水支出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林业和草原</w:t>
      </w:r>
      <w:r>
        <w:rPr>
          <w:rStyle w:val="17"/>
          <w:rFonts w:hint="default" w:ascii="Times New Roman" w:hAnsi="Times New Roman" w:eastAsia="仿宋" w:cs="Times New Roman"/>
          <w:b w:val="0"/>
          <w:bCs w:val="0"/>
          <w:sz w:val="32"/>
          <w:szCs w:val="32"/>
        </w:rPr>
        <w:t>（款）</w:t>
      </w:r>
      <w:r>
        <w:rPr>
          <w:rFonts w:hint="eastAsia" w:eastAsia="仿宋" w:cs="Times New Roman"/>
          <w:b w:val="0"/>
          <w:bCs w:val="0"/>
          <w:sz w:val="32"/>
          <w:szCs w:val="32"/>
          <w:lang w:eastAsia="zh-CN"/>
        </w:rPr>
        <w:t>其他林业和草原支出</w:t>
      </w:r>
      <w:r>
        <w:rPr>
          <w:rStyle w:val="17"/>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反映除森林资源培育、技术推广与转化等项目以外其他用于林业和草原方面的支出。</w:t>
      </w:r>
    </w:p>
    <w:p w14:paraId="4221127F">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18.</w:t>
      </w:r>
      <w:r>
        <w:rPr>
          <w:rFonts w:hint="default" w:ascii="Times New Roman" w:hAnsi="Times New Roman" w:eastAsia="仿宋" w:cs="Times New Roman"/>
          <w:b w:val="0"/>
          <w:bCs w:val="0"/>
          <w:sz w:val="32"/>
          <w:szCs w:val="32"/>
        </w:rPr>
        <w:t>住房保障支出</w:t>
      </w:r>
      <w:r>
        <w:rPr>
          <w:rStyle w:val="17"/>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rPr>
        <w:t>住房改革支出</w:t>
      </w:r>
      <w:r>
        <w:rPr>
          <w:rStyle w:val="17"/>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rPr>
        <w:t>住房公积金</w:t>
      </w:r>
      <w:r>
        <w:rPr>
          <w:rStyle w:val="17"/>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反映行政事业单位按人力资源和社会保障部、财政部规定基本工资和津贴补贴以及规定比例为职工缴纳的住房公积金。</w:t>
      </w:r>
    </w:p>
    <w:p w14:paraId="1ECF9D1D">
      <w:pPr>
        <w:spacing w:line="600" w:lineRule="exact"/>
        <w:ind w:firstLine="640" w:firstLineChars="200"/>
        <w:rPr>
          <w:rFonts w:hint="eastAsia" w:eastAsia="仿宋_GB2312" w:cs="仿宋_GB2312"/>
          <w:sz w:val="32"/>
          <w:szCs w:val="32"/>
          <w:lang w:eastAsia="zh-CN"/>
        </w:rPr>
      </w:pPr>
      <w:r>
        <w:rPr>
          <w:rFonts w:hint="eastAsia" w:eastAsia="仿宋_GB2312" w:cs="仿宋_GB2312"/>
          <w:sz w:val="32"/>
          <w:szCs w:val="32"/>
        </w:rPr>
        <w:t>19.</w:t>
      </w:r>
      <w:r>
        <w:rPr>
          <w:rFonts w:hint="default" w:ascii="Times New Roman" w:hAnsi="Times New Roman" w:eastAsia="仿宋" w:cs="Times New Roman"/>
          <w:b w:val="0"/>
          <w:bCs w:val="0"/>
          <w:sz w:val="32"/>
          <w:szCs w:val="32"/>
          <w:lang w:eastAsia="zh-CN"/>
        </w:rPr>
        <w:t>卫生健康支出</w:t>
      </w:r>
      <w:r>
        <w:rPr>
          <w:rFonts w:hint="default" w:ascii="Times New Roman" w:hAnsi="Times New Roman" w:eastAsia="仿宋" w:cs="Times New Roman"/>
          <w:b w:val="0"/>
          <w:bCs w:val="0"/>
          <w:sz w:val="32"/>
          <w:szCs w:val="32"/>
        </w:rPr>
        <w:t>（类）</w:t>
      </w:r>
      <w:r>
        <w:rPr>
          <w:rFonts w:hint="default" w:ascii="Times New Roman" w:hAnsi="Times New Roman" w:eastAsia="仿宋" w:cs="Times New Roman"/>
          <w:b w:val="0"/>
          <w:bCs w:val="0"/>
          <w:sz w:val="32"/>
          <w:szCs w:val="32"/>
          <w:lang w:eastAsia="zh-CN"/>
        </w:rPr>
        <w:t>行政事业单位医疗</w:t>
      </w:r>
      <w:r>
        <w:rPr>
          <w:rFonts w:hint="default" w:ascii="Times New Roman" w:hAnsi="Times New Roman" w:eastAsia="仿宋" w:cs="Times New Roman"/>
          <w:b w:val="0"/>
          <w:bCs w:val="0"/>
          <w:sz w:val="32"/>
          <w:szCs w:val="32"/>
        </w:rPr>
        <w:t>（款）</w:t>
      </w:r>
      <w:r>
        <w:rPr>
          <w:rFonts w:hint="default" w:ascii="Times New Roman" w:hAnsi="Times New Roman" w:eastAsia="仿宋" w:cs="Times New Roman"/>
          <w:b w:val="0"/>
          <w:bCs w:val="0"/>
          <w:sz w:val="32"/>
          <w:szCs w:val="32"/>
          <w:lang w:eastAsia="zh-CN"/>
        </w:rPr>
        <w:t>事业单位医疗</w:t>
      </w:r>
      <w:r>
        <w:rPr>
          <w:rFonts w:hint="default" w:ascii="Times New Roman" w:hAnsi="Times New Roman" w:eastAsia="仿宋" w:cs="Times New Roman"/>
          <w:b w:val="0"/>
          <w:bCs w:val="0"/>
          <w:sz w:val="32"/>
          <w:szCs w:val="32"/>
        </w:rPr>
        <w:t>（项）</w:t>
      </w:r>
      <w:r>
        <w:rPr>
          <w:rFonts w:hint="eastAsia" w:eastAsia="仿宋_GB2312" w:cs="仿宋_GB2312"/>
          <w:sz w:val="32"/>
          <w:szCs w:val="32"/>
        </w:rPr>
        <w:t>：</w:t>
      </w:r>
      <w:r>
        <w:rPr>
          <w:rFonts w:hint="eastAsia" w:eastAsia="仿宋_GB2312" w:cs="仿宋_GB2312"/>
          <w:sz w:val="32"/>
          <w:szCs w:val="32"/>
          <w:lang w:eastAsia="zh-CN"/>
        </w:rPr>
        <w:t>反映财政部门安排的事业单位基本医疗保险缴费经费，未参加医疗保险的事业单位的公费医疗经费，按国家规定享受离退休人员待遇的医疗经费。</w:t>
      </w:r>
    </w:p>
    <w:p w14:paraId="796ADCA2">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w:t>
      </w:r>
      <w:r>
        <w:rPr>
          <w:rFonts w:hint="default" w:ascii="Times New Roman" w:hAnsi="Times New Roman" w:eastAsia="仿宋" w:cs="Times New Roman"/>
          <w:b w:val="0"/>
          <w:bCs w:val="0"/>
          <w:sz w:val="32"/>
          <w:szCs w:val="32"/>
          <w:lang w:eastAsia="zh-CN"/>
        </w:rPr>
        <w:t>卫生健康支出（类）行政事业单位医疗（款）公务员医疗补助（项）</w:t>
      </w:r>
      <w:r>
        <w:rPr>
          <w:rFonts w:hint="eastAsia" w:eastAsia="仿宋_GB2312" w:cs="仿宋_GB2312"/>
          <w:sz w:val="32"/>
          <w:szCs w:val="32"/>
        </w:rPr>
        <w:t>：</w:t>
      </w:r>
      <w:r>
        <w:rPr>
          <w:rFonts w:hint="eastAsia" w:eastAsia="仿宋_GB2312" w:cs="仿宋_GB2312"/>
          <w:sz w:val="32"/>
          <w:szCs w:val="32"/>
          <w:lang w:eastAsia="zh-CN"/>
        </w:rPr>
        <w:t>反映财政部门安排的公务员医疗补助经费。</w:t>
      </w:r>
    </w:p>
    <w:p w14:paraId="145AD986">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21.</w:t>
      </w:r>
      <w:r>
        <w:rPr>
          <w:rFonts w:hint="eastAsia" w:eastAsia="仿宋_GB2312" w:cs="Times New Roman"/>
          <w:b w:val="0"/>
          <w:bCs w:val="0"/>
          <w:sz w:val="32"/>
          <w:szCs w:val="32"/>
          <w:lang w:val="en-US" w:eastAsia="zh-CN"/>
        </w:rPr>
        <w:t>其他支出</w:t>
      </w:r>
      <w:r>
        <w:rPr>
          <w:rFonts w:hint="default" w:ascii="Times New Roman" w:hAnsi="Times New Roman" w:eastAsia="仿宋" w:cs="Times New Roman"/>
          <w:b w:val="0"/>
          <w:bCs w:val="0"/>
          <w:sz w:val="32"/>
          <w:szCs w:val="32"/>
          <w:lang w:eastAsia="zh-CN"/>
        </w:rPr>
        <w:t>（类）</w:t>
      </w:r>
      <w:r>
        <w:rPr>
          <w:rFonts w:hint="eastAsia" w:eastAsia="仿宋" w:cs="Times New Roman"/>
          <w:b w:val="0"/>
          <w:bCs w:val="0"/>
          <w:sz w:val="32"/>
          <w:szCs w:val="32"/>
          <w:lang w:eastAsia="zh-CN"/>
        </w:rPr>
        <w:t>其他支出</w:t>
      </w:r>
      <w:r>
        <w:rPr>
          <w:rFonts w:hint="default" w:ascii="Times New Roman" w:hAnsi="Times New Roman" w:eastAsia="仿宋" w:cs="Times New Roman"/>
          <w:b w:val="0"/>
          <w:bCs w:val="0"/>
          <w:sz w:val="32"/>
          <w:szCs w:val="32"/>
          <w:lang w:eastAsia="zh-CN"/>
        </w:rPr>
        <w:t>（款）</w:t>
      </w:r>
      <w:r>
        <w:rPr>
          <w:rFonts w:hint="eastAsia" w:eastAsia="仿宋" w:cs="Times New Roman"/>
          <w:b w:val="0"/>
          <w:bCs w:val="0"/>
          <w:sz w:val="32"/>
          <w:szCs w:val="32"/>
          <w:lang w:eastAsia="zh-CN"/>
        </w:rPr>
        <w:t>其他支出</w:t>
      </w:r>
      <w:r>
        <w:rPr>
          <w:rFonts w:hint="default" w:ascii="Times New Roman" w:hAnsi="Times New Roman" w:eastAsia="仿宋" w:cs="Times New Roman"/>
          <w:b w:val="0"/>
          <w:bCs w:val="0"/>
          <w:sz w:val="32"/>
          <w:szCs w:val="32"/>
          <w:lang w:eastAsia="zh-CN"/>
        </w:rPr>
        <w:t>（项）</w:t>
      </w:r>
      <w:r>
        <w:rPr>
          <w:rFonts w:hint="eastAsia" w:eastAsia="仿宋_GB2312" w:cs="仿宋_GB2312"/>
          <w:sz w:val="32"/>
          <w:szCs w:val="32"/>
        </w:rPr>
        <w:t>：</w:t>
      </w:r>
      <w:r>
        <w:rPr>
          <w:rFonts w:hint="eastAsia" w:eastAsia="仿宋_GB2312" w:cs="仿宋_GB2312"/>
          <w:sz w:val="32"/>
          <w:szCs w:val="32"/>
          <w:lang w:eastAsia="zh-CN"/>
        </w:rPr>
        <w:t>反映除年初预留项目以外其他不能划分到具体功能科目中的支出项目。</w:t>
      </w:r>
    </w:p>
    <w:p w14:paraId="3E24BFA9">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val="en-US" w:eastAsia="zh-CN"/>
        </w:rPr>
        <w:t>2</w:t>
      </w:r>
      <w:r>
        <w:rPr>
          <w:rFonts w:hint="eastAsia" w:eastAsia="仿宋_GB2312" w:cs="仿宋_GB2312"/>
          <w:sz w:val="32"/>
          <w:szCs w:val="32"/>
        </w:rPr>
        <w:t>.基本支出：指为保障机构正常运转、完成日常工作任务而发生的人员支出和公用支出。</w:t>
      </w:r>
    </w:p>
    <w:p w14:paraId="62F4BF0B">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val="en-US" w:eastAsia="zh-CN"/>
        </w:rPr>
        <w:t>3</w:t>
      </w:r>
      <w:r>
        <w:rPr>
          <w:rFonts w:hint="eastAsia" w:eastAsia="仿宋_GB2312" w:cs="仿宋_GB2312"/>
          <w:sz w:val="32"/>
          <w:szCs w:val="32"/>
        </w:rPr>
        <w:t xml:space="preserve">.项目支出：指在基本支出之外为完成特定行政任务和事业发展目标所发生的支出。 </w:t>
      </w:r>
    </w:p>
    <w:p w14:paraId="547330B1">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val="en-US" w:eastAsia="zh-CN"/>
        </w:rPr>
        <w:t>4</w:t>
      </w:r>
      <w:r>
        <w:rPr>
          <w:rFonts w:hint="eastAsia" w:eastAsia="仿宋_GB2312" w:cs="仿宋_GB2312"/>
          <w:sz w:val="32"/>
          <w:szCs w:val="32"/>
        </w:rPr>
        <w:t>.经营支出：指事业单位在专业业务活动及其辅助活动之外开展非独立核算经营活动发生的支出。</w:t>
      </w:r>
    </w:p>
    <w:p w14:paraId="67250114">
      <w:pPr>
        <w:spacing w:line="600" w:lineRule="exact"/>
        <w:ind w:firstLine="640"/>
        <w:rPr>
          <w:rFonts w:eastAsia="仿宋_GB2312" w:cs="仿宋_GB2312"/>
          <w:sz w:val="32"/>
          <w:szCs w:val="32"/>
        </w:rPr>
      </w:pPr>
      <w:r>
        <w:rPr>
          <w:rFonts w:hint="eastAsia" w:eastAsia="仿宋_GB2312" w:cs="仿宋_GB2312"/>
          <w:sz w:val="32"/>
          <w:szCs w:val="32"/>
          <w:lang w:val="en-US" w:eastAsia="zh-CN"/>
        </w:rPr>
        <w:t>25</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8F05664">
      <w:pPr>
        <w:spacing w:line="600" w:lineRule="exact"/>
        <w:jc w:val="center"/>
        <w:rPr>
          <w:rStyle w:val="28"/>
          <w:rFonts w:eastAsia="黑体"/>
          <w:b w:val="0"/>
        </w:rPr>
      </w:pPr>
      <w:bookmarkStart w:id="55" w:name="_Toc15377226"/>
      <w:r>
        <w:rPr>
          <w:rFonts w:hint="eastAsia" w:eastAsia="仿宋_GB2312" w:cs="仿宋_GB2312"/>
          <w:sz w:val="32"/>
          <w:szCs w:val="32"/>
        </w:rPr>
        <w:br w:type="page"/>
      </w:r>
      <w:bookmarkStart w:id="56" w:name="_Toc15396614"/>
      <w:r>
        <w:rPr>
          <w:rFonts w:hint="eastAsia" w:eastAsia="黑体"/>
          <w:sz w:val="44"/>
          <w:szCs w:val="44"/>
        </w:rPr>
        <w:t>第四部分  附件</w:t>
      </w:r>
      <w:bookmarkEnd w:id="56"/>
    </w:p>
    <w:p w14:paraId="70843FDC">
      <w:pPr>
        <w:widowControl/>
        <w:adjustRightInd w:val="0"/>
        <w:snapToGrid w:val="0"/>
        <w:spacing w:line="578" w:lineRule="exact"/>
        <w:ind w:firstLine="640" w:firstLineChars="200"/>
        <w:contextualSpacing/>
        <w:jc w:val="left"/>
        <w:rPr>
          <w:rFonts w:hint="eastAsia" w:eastAsia="仿宋_GB2312" w:cs="仿宋_GB2312"/>
          <w:sz w:val="32"/>
          <w:szCs w:val="32"/>
        </w:rPr>
      </w:pPr>
    </w:p>
    <w:p w14:paraId="1763C1B5">
      <w:pPr>
        <w:widowControl/>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部门预算项目支出绩效自评表（2025年度）</w:t>
      </w:r>
      <w:r>
        <w:rPr>
          <w:rFonts w:hint="eastAsia" w:eastAsia="仿宋_GB2312" w:cs="仿宋_GB2312"/>
          <w:sz w:val="32"/>
          <w:szCs w:val="32"/>
          <w:lang w:eastAsia="zh-CN"/>
        </w:rPr>
        <w:t>见附件。</w:t>
      </w:r>
    </w:p>
    <w:p w14:paraId="2F0CCCB7">
      <w:pPr>
        <w:spacing w:line="572" w:lineRule="exact"/>
        <w:jc w:val="left"/>
        <w:outlineLvl w:val="0"/>
        <w:rPr>
          <w:rFonts w:eastAsia="黑体" w:cs="黑体"/>
          <w:color w:val="FF0000"/>
          <w:sz w:val="32"/>
          <w:szCs w:val="32"/>
        </w:rPr>
      </w:pPr>
    </w:p>
    <w:p w14:paraId="37E9EC23">
      <w:pPr>
        <w:pStyle w:val="2"/>
        <w:rPr>
          <w:rFonts w:eastAsia="黑体" w:cs="黑体"/>
          <w:color w:val="FF0000"/>
          <w:sz w:val="32"/>
          <w:szCs w:val="32"/>
        </w:rPr>
      </w:pPr>
    </w:p>
    <w:p w14:paraId="356981C2">
      <w:pPr>
        <w:pStyle w:val="3"/>
        <w:rPr>
          <w:rFonts w:eastAsia="黑体" w:cs="黑体"/>
          <w:color w:val="FF0000"/>
          <w:sz w:val="32"/>
          <w:szCs w:val="32"/>
        </w:rPr>
      </w:pPr>
    </w:p>
    <w:p w14:paraId="4267731C">
      <w:pPr>
        <w:pStyle w:val="3"/>
        <w:rPr>
          <w:rFonts w:eastAsia="黑体" w:cs="黑体"/>
          <w:color w:val="FF0000"/>
          <w:sz w:val="32"/>
          <w:szCs w:val="32"/>
        </w:rPr>
      </w:pPr>
    </w:p>
    <w:p w14:paraId="34E34589">
      <w:pPr>
        <w:pStyle w:val="3"/>
        <w:rPr>
          <w:rFonts w:eastAsia="黑体" w:cs="黑体"/>
          <w:color w:val="FF0000"/>
          <w:sz w:val="32"/>
          <w:szCs w:val="32"/>
        </w:rPr>
      </w:pPr>
    </w:p>
    <w:p w14:paraId="1E411151">
      <w:pPr>
        <w:pStyle w:val="3"/>
        <w:rPr>
          <w:rFonts w:eastAsia="黑体" w:cs="黑体"/>
          <w:color w:val="FF0000"/>
          <w:sz w:val="32"/>
          <w:szCs w:val="32"/>
        </w:rPr>
      </w:pPr>
    </w:p>
    <w:p w14:paraId="3D860DA2">
      <w:pPr>
        <w:pStyle w:val="3"/>
        <w:rPr>
          <w:rFonts w:eastAsia="黑体" w:cs="黑体"/>
          <w:color w:val="FF0000"/>
          <w:sz w:val="32"/>
          <w:szCs w:val="32"/>
        </w:rPr>
      </w:pPr>
    </w:p>
    <w:p w14:paraId="03DFD6EE">
      <w:pPr>
        <w:pStyle w:val="3"/>
        <w:rPr>
          <w:rFonts w:eastAsia="黑体" w:cs="黑体"/>
          <w:color w:val="FF0000"/>
          <w:sz w:val="32"/>
          <w:szCs w:val="32"/>
        </w:rPr>
      </w:pPr>
    </w:p>
    <w:p w14:paraId="5514E9CE">
      <w:pPr>
        <w:pStyle w:val="3"/>
        <w:rPr>
          <w:rFonts w:eastAsia="黑体" w:cs="黑体"/>
          <w:color w:val="FF0000"/>
          <w:sz w:val="32"/>
          <w:szCs w:val="32"/>
        </w:rPr>
      </w:pPr>
    </w:p>
    <w:p w14:paraId="22AFFBA4">
      <w:pPr>
        <w:pStyle w:val="3"/>
        <w:rPr>
          <w:rFonts w:eastAsia="黑体" w:cs="黑体"/>
          <w:color w:val="FF0000"/>
          <w:sz w:val="32"/>
          <w:szCs w:val="32"/>
        </w:rPr>
      </w:pPr>
    </w:p>
    <w:p w14:paraId="39FA4146">
      <w:pPr>
        <w:pStyle w:val="3"/>
        <w:rPr>
          <w:rFonts w:eastAsia="黑体" w:cs="黑体"/>
          <w:color w:val="FF0000"/>
          <w:sz w:val="32"/>
          <w:szCs w:val="32"/>
        </w:rPr>
      </w:pPr>
    </w:p>
    <w:p w14:paraId="5BD67C8F">
      <w:pPr>
        <w:pStyle w:val="3"/>
        <w:rPr>
          <w:rFonts w:eastAsia="黑体" w:cs="黑体"/>
          <w:color w:val="FF0000"/>
          <w:sz w:val="32"/>
          <w:szCs w:val="32"/>
        </w:rPr>
      </w:pPr>
    </w:p>
    <w:p w14:paraId="064A8ACB">
      <w:pPr>
        <w:pStyle w:val="3"/>
        <w:rPr>
          <w:rFonts w:eastAsia="黑体" w:cs="黑体"/>
          <w:color w:val="FF0000"/>
          <w:sz w:val="32"/>
          <w:szCs w:val="32"/>
        </w:rPr>
      </w:pPr>
    </w:p>
    <w:p w14:paraId="30B2A29B">
      <w:pPr>
        <w:pStyle w:val="3"/>
        <w:rPr>
          <w:rFonts w:eastAsia="黑体" w:cs="黑体"/>
          <w:color w:val="FF0000"/>
          <w:sz w:val="32"/>
          <w:szCs w:val="32"/>
        </w:rPr>
      </w:pPr>
    </w:p>
    <w:p w14:paraId="06815AC1">
      <w:pPr>
        <w:pStyle w:val="3"/>
        <w:rPr>
          <w:rFonts w:eastAsia="黑体" w:cs="黑体"/>
          <w:color w:val="FF0000"/>
          <w:sz w:val="32"/>
          <w:szCs w:val="32"/>
        </w:rPr>
      </w:pPr>
    </w:p>
    <w:p w14:paraId="3A05879B">
      <w:pPr>
        <w:pStyle w:val="3"/>
        <w:rPr>
          <w:rFonts w:eastAsia="黑体" w:cs="黑体"/>
          <w:color w:val="FF0000"/>
          <w:sz w:val="32"/>
          <w:szCs w:val="32"/>
        </w:rPr>
      </w:pPr>
    </w:p>
    <w:p w14:paraId="2DDDD8B5">
      <w:pPr>
        <w:pStyle w:val="3"/>
        <w:rPr>
          <w:rFonts w:eastAsia="黑体" w:cs="黑体"/>
          <w:color w:val="FF0000"/>
          <w:sz w:val="32"/>
          <w:szCs w:val="32"/>
        </w:rPr>
      </w:pPr>
    </w:p>
    <w:p w14:paraId="05E39DC5">
      <w:pPr>
        <w:pStyle w:val="2"/>
      </w:pPr>
    </w:p>
    <w:p w14:paraId="389B1786">
      <w:pPr>
        <w:widowControl/>
        <w:jc w:val="center"/>
        <w:rPr>
          <w:rFonts w:eastAsia="仿宋"/>
        </w:rPr>
      </w:pPr>
      <w:bookmarkStart w:id="57" w:name="_Toc15396618"/>
      <w:r>
        <w:rPr>
          <w:rFonts w:hint="eastAsia" w:eastAsia="黑体"/>
          <w:sz w:val="44"/>
          <w:szCs w:val="44"/>
        </w:rPr>
        <w:t>第</w:t>
      </w:r>
      <w:r>
        <w:rPr>
          <w:rStyle w:val="28"/>
          <w:rFonts w:hint="eastAsia" w:eastAsia="黑体"/>
          <w:b w:val="0"/>
        </w:rPr>
        <w:t>五部分 附表</w:t>
      </w:r>
      <w:bookmarkEnd w:id="55"/>
      <w:bookmarkEnd w:id="57"/>
      <w:bookmarkStart w:id="58" w:name="_Toc15396619"/>
    </w:p>
    <w:p w14:paraId="45644E32">
      <w:pPr>
        <w:pStyle w:val="14"/>
        <w:adjustRightInd w:val="0"/>
        <w:snapToGrid w:val="0"/>
        <w:spacing w:line="560" w:lineRule="exact"/>
        <w:jc w:val="left"/>
        <w:rPr>
          <w:rFonts w:eastAsia="仿宋_GB2312" w:cs="仿宋_GB2312"/>
          <w:sz w:val="32"/>
          <w:szCs w:val="32"/>
        </w:rPr>
      </w:pPr>
    </w:p>
    <w:p w14:paraId="421D2A6E">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8"/>
    </w:p>
    <w:p w14:paraId="4E4D0823">
      <w:pPr>
        <w:pStyle w:val="14"/>
        <w:adjustRightInd w:val="0"/>
        <w:snapToGrid w:val="0"/>
        <w:spacing w:line="560" w:lineRule="exact"/>
        <w:jc w:val="left"/>
        <w:rPr>
          <w:rFonts w:eastAsia="仿宋_GB2312" w:cs="仿宋_GB2312"/>
          <w:sz w:val="32"/>
          <w:szCs w:val="32"/>
        </w:rPr>
      </w:pPr>
      <w:bookmarkStart w:id="59" w:name="_Toc15396620"/>
      <w:r>
        <w:rPr>
          <w:rFonts w:hint="eastAsia" w:eastAsia="仿宋_GB2312" w:cs="仿宋_GB2312"/>
          <w:sz w:val="32"/>
          <w:szCs w:val="32"/>
        </w:rPr>
        <w:t>二、收入决算表</w:t>
      </w:r>
      <w:bookmarkEnd w:id="59"/>
    </w:p>
    <w:p w14:paraId="3C8D4866">
      <w:pPr>
        <w:pStyle w:val="14"/>
        <w:adjustRightInd w:val="0"/>
        <w:snapToGrid w:val="0"/>
        <w:spacing w:line="560" w:lineRule="exact"/>
        <w:jc w:val="left"/>
        <w:rPr>
          <w:rFonts w:eastAsia="仿宋_GB2312" w:cs="仿宋_GB2312"/>
          <w:sz w:val="32"/>
          <w:szCs w:val="32"/>
        </w:rPr>
      </w:pPr>
      <w:bookmarkStart w:id="60" w:name="_Toc15396621"/>
      <w:r>
        <w:rPr>
          <w:rFonts w:hint="eastAsia" w:eastAsia="仿宋_GB2312" w:cs="仿宋_GB2312"/>
          <w:sz w:val="32"/>
          <w:szCs w:val="32"/>
        </w:rPr>
        <w:t>三、支出决算表</w:t>
      </w:r>
      <w:bookmarkEnd w:id="60"/>
    </w:p>
    <w:p w14:paraId="7FCE1324">
      <w:pPr>
        <w:pStyle w:val="14"/>
        <w:adjustRightInd w:val="0"/>
        <w:snapToGrid w:val="0"/>
        <w:spacing w:line="560" w:lineRule="exact"/>
        <w:jc w:val="left"/>
        <w:rPr>
          <w:rFonts w:eastAsia="仿宋_GB2312" w:cs="仿宋_GB2312"/>
          <w:sz w:val="32"/>
          <w:szCs w:val="32"/>
        </w:rPr>
      </w:pPr>
      <w:bookmarkStart w:id="61" w:name="_Toc15396622"/>
      <w:r>
        <w:rPr>
          <w:rFonts w:hint="eastAsia" w:eastAsia="仿宋_GB2312" w:cs="仿宋_GB2312"/>
          <w:sz w:val="32"/>
          <w:szCs w:val="32"/>
        </w:rPr>
        <w:t>四、财政拨款收入支出决算总表</w:t>
      </w:r>
      <w:bookmarkEnd w:id="61"/>
    </w:p>
    <w:p w14:paraId="06DF80CE">
      <w:pPr>
        <w:pStyle w:val="14"/>
        <w:adjustRightInd w:val="0"/>
        <w:snapToGrid w:val="0"/>
        <w:spacing w:line="560" w:lineRule="exact"/>
        <w:jc w:val="left"/>
        <w:rPr>
          <w:rFonts w:eastAsia="仿宋_GB2312" w:cs="仿宋_GB2312"/>
          <w:sz w:val="32"/>
          <w:szCs w:val="32"/>
        </w:rPr>
      </w:pPr>
      <w:bookmarkStart w:id="62" w:name="_Toc15396623"/>
      <w:r>
        <w:rPr>
          <w:rFonts w:hint="eastAsia" w:eastAsia="仿宋_GB2312" w:cs="仿宋_GB2312"/>
          <w:sz w:val="32"/>
          <w:szCs w:val="32"/>
        </w:rPr>
        <w:t>五、财政拨款支出决算明细表</w:t>
      </w:r>
      <w:bookmarkEnd w:id="62"/>
      <w:bookmarkStart w:id="63" w:name="_Toc15396624"/>
    </w:p>
    <w:p w14:paraId="7A2D434E">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3"/>
    </w:p>
    <w:p w14:paraId="48FFF84A">
      <w:pPr>
        <w:pStyle w:val="14"/>
        <w:adjustRightInd w:val="0"/>
        <w:snapToGrid w:val="0"/>
        <w:spacing w:line="560" w:lineRule="exact"/>
        <w:jc w:val="left"/>
        <w:rPr>
          <w:rFonts w:eastAsia="仿宋_GB2312" w:cs="仿宋_GB2312"/>
          <w:sz w:val="32"/>
          <w:szCs w:val="32"/>
        </w:rPr>
      </w:pPr>
      <w:bookmarkStart w:id="64" w:name="_Toc15396625"/>
      <w:r>
        <w:rPr>
          <w:rFonts w:hint="eastAsia" w:eastAsia="仿宋_GB2312" w:cs="仿宋_GB2312"/>
          <w:sz w:val="32"/>
          <w:szCs w:val="32"/>
        </w:rPr>
        <w:t>七、一般公共预算财政拨款支出决算明细表</w:t>
      </w:r>
      <w:bookmarkEnd w:id="64"/>
    </w:p>
    <w:p w14:paraId="5C0FC135">
      <w:pPr>
        <w:pStyle w:val="14"/>
        <w:adjustRightInd w:val="0"/>
        <w:snapToGrid w:val="0"/>
        <w:spacing w:line="560" w:lineRule="exact"/>
        <w:jc w:val="left"/>
        <w:rPr>
          <w:rFonts w:eastAsia="仿宋_GB2312" w:cs="仿宋_GB2312"/>
          <w:sz w:val="32"/>
          <w:szCs w:val="32"/>
        </w:rPr>
      </w:pPr>
      <w:bookmarkStart w:id="65" w:name="_Toc15396626"/>
      <w:r>
        <w:rPr>
          <w:rFonts w:hint="eastAsia" w:eastAsia="仿宋_GB2312" w:cs="仿宋_GB2312"/>
          <w:sz w:val="32"/>
          <w:szCs w:val="32"/>
        </w:rPr>
        <w:t>八、一般公共预算财政拨款基本支出决算表</w:t>
      </w:r>
      <w:bookmarkEnd w:id="65"/>
    </w:p>
    <w:p w14:paraId="25950154">
      <w:pPr>
        <w:pStyle w:val="14"/>
        <w:adjustRightInd w:val="0"/>
        <w:snapToGrid w:val="0"/>
        <w:spacing w:line="560" w:lineRule="exact"/>
        <w:jc w:val="left"/>
        <w:rPr>
          <w:rFonts w:eastAsia="仿宋_GB2312" w:cs="仿宋_GB2312"/>
          <w:sz w:val="32"/>
          <w:szCs w:val="32"/>
        </w:rPr>
      </w:pPr>
      <w:bookmarkStart w:id="66" w:name="_Toc15396627"/>
      <w:r>
        <w:rPr>
          <w:rFonts w:hint="eastAsia" w:eastAsia="仿宋_GB2312" w:cs="仿宋_GB2312"/>
          <w:sz w:val="32"/>
          <w:szCs w:val="32"/>
        </w:rPr>
        <w:t>九、一般公共预算财政拨款项目支出决算表</w:t>
      </w:r>
      <w:bookmarkEnd w:id="66"/>
    </w:p>
    <w:p w14:paraId="30DAFC9D">
      <w:pPr>
        <w:pStyle w:val="14"/>
        <w:adjustRightInd w:val="0"/>
        <w:snapToGrid w:val="0"/>
        <w:spacing w:line="560" w:lineRule="exact"/>
        <w:jc w:val="left"/>
        <w:rPr>
          <w:rFonts w:eastAsia="仿宋_GB2312" w:cs="仿宋_GB2312"/>
          <w:sz w:val="32"/>
          <w:szCs w:val="32"/>
        </w:rPr>
      </w:pPr>
      <w:bookmarkStart w:id="67" w:name="_Toc15396628"/>
      <w:r>
        <w:rPr>
          <w:rFonts w:hint="eastAsia" w:eastAsia="仿宋_GB2312" w:cs="仿宋_GB2312"/>
          <w:sz w:val="32"/>
          <w:szCs w:val="32"/>
        </w:rPr>
        <w:t>十、</w:t>
      </w:r>
      <w:bookmarkEnd w:id="67"/>
      <w:r>
        <w:rPr>
          <w:rFonts w:hint="eastAsia" w:eastAsia="仿宋_GB2312" w:cs="仿宋_GB2312"/>
          <w:sz w:val="32"/>
          <w:szCs w:val="32"/>
        </w:rPr>
        <w:t>政府性基金预算财政拨款收入支出决算表</w:t>
      </w:r>
    </w:p>
    <w:p w14:paraId="7DB52467">
      <w:pPr>
        <w:pStyle w:val="14"/>
        <w:adjustRightInd w:val="0"/>
        <w:snapToGrid w:val="0"/>
        <w:spacing w:line="560" w:lineRule="exact"/>
        <w:jc w:val="left"/>
        <w:rPr>
          <w:rFonts w:eastAsia="仿宋_GB2312" w:cs="仿宋_GB2312"/>
          <w:sz w:val="32"/>
          <w:szCs w:val="32"/>
        </w:rPr>
      </w:pPr>
      <w:bookmarkStart w:id="68" w:name="_Toc15396629"/>
      <w:r>
        <w:rPr>
          <w:rFonts w:hint="eastAsia" w:eastAsia="仿宋_GB2312" w:cs="仿宋_GB2312"/>
          <w:sz w:val="32"/>
          <w:szCs w:val="32"/>
        </w:rPr>
        <w:t>十一、</w:t>
      </w:r>
      <w:bookmarkEnd w:id="68"/>
      <w:r>
        <w:rPr>
          <w:rFonts w:hint="eastAsia" w:eastAsia="仿宋_GB2312" w:cs="仿宋_GB2312"/>
          <w:sz w:val="32"/>
          <w:szCs w:val="32"/>
        </w:rPr>
        <w:t>国有资本经营预算财政拨款收入支出决算表</w:t>
      </w:r>
    </w:p>
    <w:p w14:paraId="34336E5C">
      <w:pPr>
        <w:pStyle w:val="14"/>
        <w:adjustRightInd w:val="0"/>
        <w:snapToGrid w:val="0"/>
        <w:spacing w:line="560" w:lineRule="exact"/>
        <w:jc w:val="left"/>
        <w:rPr>
          <w:rFonts w:eastAsia="仿宋_GB2312" w:cs="仿宋_GB2312"/>
          <w:sz w:val="32"/>
          <w:szCs w:val="32"/>
        </w:rPr>
      </w:pPr>
      <w:bookmarkStart w:id="69" w:name="_Toc15396630"/>
      <w:r>
        <w:rPr>
          <w:rFonts w:hint="eastAsia" w:eastAsia="仿宋_GB2312" w:cs="仿宋_GB2312"/>
          <w:sz w:val="32"/>
          <w:szCs w:val="32"/>
        </w:rPr>
        <w:t>十二、</w:t>
      </w:r>
      <w:bookmarkEnd w:id="69"/>
      <w:r>
        <w:rPr>
          <w:rFonts w:hint="eastAsia" w:eastAsia="仿宋_GB2312" w:cs="仿宋_GB2312"/>
          <w:sz w:val="32"/>
          <w:szCs w:val="32"/>
        </w:rPr>
        <w:t>国有资本经营预算财政拨款支出决算表</w:t>
      </w:r>
    </w:p>
    <w:p w14:paraId="1BC86F99">
      <w:pPr>
        <w:pStyle w:val="14"/>
        <w:adjustRightInd w:val="0"/>
        <w:snapToGrid w:val="0"/>
        <w:spacing w:line="560" w:lineRule="exact"/>
        <w:jc w:val="left"/>
        <w:rPr>
          <w:rFonts w:eastAsia="仿宋_GB2312" w:cs="仿宋_GB2312"/>
          <w:sz w:val="32"/>
          <w:szCs w:val="32"/>
        </w:rPr>
      </w:pPr>
      <w:bookmarkStart w:id="70" w:name="_Toc15396631"/>
      <w:r>
        <w:rPr>
          <w:rFonts w:hint="eastAsia" w:eastAsia="仿宋_GB2312" w:cs="仿宋_GB2312"/>
          <w:sz w:val="32"/>
          <w:szCs w:val="32"/>
        </w:rPr>
        <w:t>十三、</w:t>
      </w:r>
      <w:bookmarkEnd w:id="70"/>
      <w:r>
        <w:rPr>
          <w:rFonts w:hint="eastAsia" w:eastAsia="仿宋_GB2312" w:cs="仿宋_GB2312"/>
          <w:sz w:val="32"/>
          <w:szCs w:val="32"/>
        </w:rPr>
        <w:t>财政拨款“三公”经费支出决算表</w:t>
      </w:r>
    </w:p>
    <w:p w14:paraId="393DC2F1"/>
    <w:sectPr>
      <w:footerReference r:id="rId9"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9BDD0">
    <w:pPr>
      <w:pStyle w:val="11"/>
      <w:jc w:val="center"/>
    </w:pPr>
  </w:p>
  <w:p w14:paraId="59B4CD0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B82A8">
    <w:pPr>
      <w:pStyle w:val="11"/>
      <w:jc w:val="center"/>
    </w:pPr>
  </w:p>
  <w:p w14:paraId="18EF671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DFCFE">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87605">
    <w:pPr>
      <w:pStyle w:val="11"/>
      <w:jc w:val="center"/>
    </w:pPr>
  </w:p>
  <w:p w14:paraId="67699B46">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DC841">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C2499">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11C2499">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662A">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1FEEE">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C1FEEE">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579B4EE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28049">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45309F0"/>
    <w:rsid w:val="061E35DE"/>
    <w:rsid w:val="066E0107"/>
    <w:rsid w:val="07996F6E"/>
    <w:rsid w:val="07DFD8BA"/>
    <w:rsid w:val="084B472A"/>
    <w:rsid w:val="08DB07E4"/>
    <w:rsid w:val="09867E8F"/>
    <w:rsid w:val="0A2032A3"/>
    <w:rsid w:val="0C1A2577"/>
    <w:rsid w:val="0C483CB5"/>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715998"/>
    <w:rsid w:val="19A445FC"/>
    <w:rsid w:val="1B7D550C"/>
    <w:rsid w:val="1BE8440E"/>
    <w:rsid w:val="1D155CEE"/>
    <w:rsid w:val="1E1D250B"/>
    <w:rsid w:val="1E740ACF"/>
    <w:rsid w:val="1FF35744"/>
    <w:rsid w:val="1FF6BC77"/>
    <w:rsid w:val="200D1E5B"/>
    <w:rsid w:val="20595F6D"/>
    <w:rsid w:val="21962A9E"/>
    <w:rsid w:val="21AE7C77"/>
    <w:rsid w:val="22BC3C41"/>
    <w:rsid w:val="23860B96"/>
    <w:rsid w:val="240371BF"/>
    <w:rsid w:val="260341A6"/>
    <w:rsid w:val="260F557C"/>
    <w:rsid w:val="2640155A"/>
    <w:rsid w:val="26CA690C"/>
    <w:rsid w:val="281408E2"/>
    <w:rsid w:val="28A477C4"/>
    <w:rsid w:val="29FD04D3"/>
    <w:rsid w:val="2BFF7BC6"/>
    <w:rsid w:val="2C8A61B5"/>
    <w:rsid w:val="2CA426A0"/>
    <w:rsid w:val="2D2E01CF"/>
    <w:rsid w:val="2DF04E50"/>
    <w:rsid w:val="2E9545B0"/>
    <w:rsid w:val="2F040D46"/>
    <w:rsid w:val="2FAE5751"/>
    <w:rsid w:val="2FB1A395"/>
    <w:rsid w:val="2FBC35DD"/>
    <w:rsid w:val="2FD9A7D8"/>
    <w:rsid w:val="308764EF"/>
    <w:rsid w:val="319F7F4E"/>
    <w:rsid w:val="321B2544"/>
    <w:rsid w:val="3304709D"/>
    <w:rsid w:val="34281836"/>
    <w:rsid w:val="349D6851"/>
    <w:rsid w:val="35004142"/>
    <w:rsid w:val="351D7CFD"/>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61A0A95"/>
    <w:rsid w:val="46E93B72"/>
    <w:rsid w:val="486A6C7A"/>
    <w:rsid w:val="49176D9B"/>
    <w:rsid w:val="4A627F82"/>
    <w:rsid w:val="4B0E749A"/>
    <w:rsid w:val="4B4F25DA"/>
    <w:rsid w:val="4BDA0CFB"/>
    <w:rsid w:val="4BE068DB"/>
    <w:rsid w:val="4C1A658F"/>
    <w:rsid w:val="4D235BB0"/>
    <w:rsid w:val="4D3C0CCC"/>
    <w:rsid w:val="4D577224"/>
    <w:rsid w:val="4DBF1CEB"/>
    <w:rsid w:val="4EAB630A"/>
    <w:rsid w:val="4ECE2238"/>
    <w:rsid w:val="4F833267"/>
    <w:rsid w:val="4FE9BD67"/>
    <w:rsid w:val="4FFB052F"/>
    <w:rsid w:val="50DD0A03"/>
    <w:rsid w:val="5103591E"/>
    <w:rsid w:val="53083A92"/>
    <w:rsid w:val="537E6D0A"/>
    <w:rsid w:val="53AF27A2"/>
    <w:rsid w:val="53BA55E7"/>
    <w:rsid w:val="53F74C96"/>
    <w:rsid w:val="56E47B74"/>
    <w:rsid w:val="57BD3DD4"/>
    <w:rsid w:val="5AF92295"/>
    <w:rsid w:val="5B2340A3"/>
    <w:rsid w:val="5B242234"/>
    <w:rsid w:val="5B397D3B"/>
    <w:rsid w:val="5BA62CF2"/>
    <w:rsid w:val="5BDD79E6"/>
    <w:rsid w:val="5BF561CA"/>
    <w:rsid w:val="5BFF5DFC"/>
    <w:rsid w:val="5C4A3285"/>
    <w:rsid w:val="5CD71FC4"/>
    <w:rsid w:val="5D1F11B5"/>
    <w:rsid w:val="5DAE1B18"/>
    <w:rsid w:val="5DE7D9E5"/>
    <w:rsid w:val="5ECEC941"/>
    <w:rsid w:val="5F0703FB"/>
    <w:rsid w:val="5F493CB7"/>
    <w:rsid w:val="5FBF9FF3"/>
    <w:rsid w:val="5FCD4E2C"/>
    <w:rsid w:val="5FD15F49"/>
    <w:rsid w:val="5FEF394A"/>
    <w:rsid w:val="5FF67715"/>
    <w:rsid w:val="612D4049"/>
    <w:rsid w:val="62BF3928"/>
    <w:rsid w:val="647F5392"/>
    <w:rsid w:val="65D95929"/>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9248EA"/>
    <w:rsid w:val="6FCE6052"/>
    <w:rsid w:val="6FD57C00"/>
    <w:rsid w:val="6FEFFFD8"/>
    <w:rsid w:val="6FF5CC65"/>
    <w:rsid w:val="6FFB47EC"/>
    <w:rsid w:val="6FFF034A"/>
    <w:rsid w:val="70496804"/>
    <w:rsid w:val="712A28F1"/>
    <w:rsid w:val="715C0E4B"/>
    <w:rsid w:val="71A51528"/>
    <w:rsid w:val="72233669"/>
    <w:rsid w:val="72734D90"/>
    <w:rsid w:val="7332FE48"/>
    <w:rsid w:val="73347DB2"/>
    <w:rsid w:val="73AB61DA"/>
    <w:rsid w:val="73AD73D5"/>
    <w:rsid w:val="73B6EB34"/>
    <w:rsid w:val="73FA497D"/>
    <w:rsid w:val="744731E5"/>
    <w:rsid w:val="74527205"/>
    <w:rsid w:val="747155FF"/>
    <w:rsid w:val="74BBD01D"/>
    <w:rsid w:val="74ED5379"/>
    <w:rsid w:val="74FC2395"/>
    <w:rsid w:val="75DEEEC2"/>
    <w:rsid w:val="76E3355F"/>
    <w:rsid w:val="76FF5125"/>
    <w:rsid w:val="776F6FFA"/>
    <w:rsid w:val="778769C8"/>
    <w:rsid w:val="77DC22F5"/>
    <w:rsid w:val="79086DAD"/>
    <w:rsid w:val="79974F09"/>
    <w:rsid w:val="79D7FD79"/>
    <w:rsid w:val="79EE5BA4"/>
    <w:rsid w:val="7A807846"/>
    <w:rsid w:val="7A894339"/>
    <w:rsid w:val="7AFF7572"/>
    <w:rsid w:val="7B6C7DFB"/>
    <w:rsid w:val="7BBFBED0"/>
    <w:rsid w:val="7BC3E394"/>
    <w:rsid w:val="7C1F3737"/>
    <w:rsid w:val="7CBFC87B"/>
    <w:rsid w:val="7CFE0F48"/>
    <w:rsid w:val="7D7EC23E"/>
    <w:rsid w:val="7D916348"/>
    <w:rsid w:val="7E8ADEBF"/>
    <w:rsid w:val="7EEF11D3"/>
    <w:rsid w:val="7F020D44"/>
    <w:rsid w:val="7F0971A6"/>
    <w:rsid w:val="7F3F679B"/>
    <w:rsid w:val="7F482829"/>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 w:type="paragraph" w:customStyle="1" w:styleId="36">
    <w:name w:val="正文-公1"/>
    <w:basedOn w:val="37"/>
    <w:next w:val="1"/>
    <w:qFormat/>
    <w:uiPriority w:val="0"/>
    <w:pPr>
      <w:ind w:firstLine="640" w:firstLineChars="200"/>
    </w:pPr>
    <w:rPr>
      <w:sz w:val="32"/>
      <w:szCs w:val="32"/>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5&#24180;&#20915;&#31639;&#20844;&#24320;\&#26032;&#24314;%20Microsoft%20Office%20Excel%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5&#24180;&#20915;&#31639;&#20844;&#24320;\&#26032;&#24314;%20Microsoft%20Office%20Excel%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5&#24180;&#20915;&#31639;&#20844;&#24320;\&#26032;&#24314;%20Microsoft%20Office%20Excel%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5&#24180;&#20915;&#31639;&#20844;&#24320;\&#26032;&#24314;%20Microsoft%20Office%20Excel%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2025&#24180;&#20915;&#31639;&#20844;&#24320;\&#26032;&#24314;%20Microsoft%20Office%20Excel%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5&#24180;&#20915;&#31639;&#20844;&#24320;\&#26032;&#24314;%20Microsoft%20Office%20Excel%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2025&#24180;&#20915;&#31639;&#20844;&#24320;\&#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manualLayout>
          <c:xMode val="edge"/>
          <c:yMode val="edge"/>
          <c:x val="0.171022640936028"/>
          <c:y val="0.0166186572124972"/>
        </c:manualLayout>
      </c:layout>
      <c:overlay val="0"/>
      <c:spPr>
        <a:noFill/>
        <a:ln>
          <a:noFill/>
        </a:ln>
        <a:effectLst/>
      </c:spPr>
    </c:title>
    <c:autoTitleDeleted val="0"/>
    <c:plotArea>
      <c:layout>
        <c:manualLayout>
          <c:layoutTarget val="inner"/>
          <c:xMode val="edge"/>
          <c:yMode val="edge"/>
          <c:x val="0.145813706123689"/>
          <c:y val="0.218036782627964"/>
          <c:w val="0.725330496884972"/>
          <c:h val="0.610768889873698"/>
        </c:manualLayout>
      </c:layout>
      <c:barChart>
        <c:barDir val="col"/>
        <c:grouping val="clustered"/>
        <c:varyColors val="0"/>
        <c:ser>
          <c:idx val="0"/>
          <c:order val="0"/>
          <c:tx>
            <c:strRef>
              <c:f>'[新建 Microsoft Office Excel 工作表.xlsx]Sheet1'!$B$6</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工作表.xlsx]Sheet1'!$A$7:$A$8</c:f>
              <c:strCache>
                <c:ptCount val="2"/>
                <c:pt idx="0">
                  <c:v>收入</c:v>
                </c:pt>
                <c:pt idx="1">
                  <c:v>支出</c:v>
                </c:pt>
              </c:strCache>
            </c:strRef>
          </c:cat>
          <c:val>
            <c:numRef>
              <c:f>'[新建 Microsoft Office Excel 工作表.xlsx]Sheet1'!$B$7:$B$8</c:f>
              <c:numCache>
                <c:formatCode>General</c:formatCode>
                <c:ptCount val="2"/>
                <c:pt idx="0">
                  <c:v>3473.18</c:v>
                </c:pt>
                <c:pt idx="1">
                  <c:v>3473.18</c:v>
                </c:pt>
              </c:numCache>
            </c:numRef>
          </c:val>
        </c:ser>
        <c:ser>
          <c:idx val="1"/>
          <c:order val="1"/>
          <c:tx>
            <c:strRef>
              <c:f>'[新建 Microsoft Office Excel 工作表.xlsx]Sheet1'!$C$6</c:f>
              <c:strCache>
                <c:ptCount val="1"/>
                <c:pt idx="0">
                  <c:v>2025年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工作表.xlsx]Sheet1'!$A$7:$A$8</c:f>
              <c:strCache>
                <c:ptCount val="2"/>
                <c:pt idx="0">
                  <c:v>收入</c:v>
                </c:pt>
                <c:pt idx="1">
                  <c:v>支出</c:v>
                </c:pt>
              </c:strCache>
            </c:strRef>
          </c:cat>
          <c:val>
            <c:numRef>
              <c:f>'[新建 Microsoft Office Excel 工作表.xlsx]Sheet1'!$C$7:$C$8</c:f>
              <c:numCache>
                <c:formatCode>General</c:formatCode>
                <c:ptCount val="2"/>
                <c:pt idx="0">
                  <c:v>3514.25</c:v>
                </c:pt>
                <c:pt idx="1">
                  <c:v>3514.25</c:v>
                </c:pt>
              </c:numCache>
            </c:numRef>
          </c:val>
        </c:ser>
        <c:dLbls>
          <c:showLegendKey val="0"/>
          <c:showVal val="1"/>
          <c:showCatName val="0"/>
          <c:showSerName val="0"/>
          <c:showPercent val="0"/>
          <c:showBubbleSize val="0"/>
        </c:dLbls>
        <c:gapWidth val="246"/>
        <c:overlap val="-28"/>
        <c:axId val="489123949"/>
        <c:axId val="505947542"/>
      </c:barChart>
      <c:catAx>
        <c:axId val="489123949"/>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803418170239363"/>
              <c:y val="0.104246881151854"/>
            </c:manualLayout>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947542"/>
        <c:crosses val="autoZero"/>
        <c:auto val="1"/>
        <c:lblAlgn val="ctr"/>
        <c:lblOffset val="100"/>
        <c:noMultiLvlLbl val="0"/>
      </c:catAx>
      <c:valAx>
        <c:axId val="50594754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123949"/>
        <c:crosses val="autoZero"/>
        <c:crossBetween val="between"/>
      </c:valAx>
      <c:spPr>
        <a:noFill/>
        <a:ln>
          <a:noFill/>
        </a:ln>
        <a:effectLst/>
      </c:spPr>
    </c:plotArea>
    <c:legend>
      <c:legendPos val="r"/>
      <c:layout>
        <c:manualLayout>
          <c:xMode val="edge"/>
          <c:yMode val="edge"/>
          <c:x val="0.344375179254389"/>
          <c:y val="0.848797205101788"/>
          <c:w val="0.345594382210333"/>
          <c:h val="0.1441356570890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c6e8b43-e314-417d-89cd-0d1f786d31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Lbls>
            <c:dLbl>
              <c:idx val="0"/>
              <c:layout>
                <c:manualLayout>
                  <c:x val="0.00592055961733039"/>
                  <c:y val="-0.26174768518608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工作表.xlsx]Sheet1'!$B$11</c:f>
              <c:strCache>
                <c:ptCount val="1"/>
                <c:pt idx="0">
                  <c:v>一般公共预算财政拨款收入</c:v>
                </c:pt>
              </c:strCache>
            </c:strRef>
          </c:cat>
          <c:val>
            <c:numRef>
              <c:f>'[新建 Microsoft Office Excel 工作表.xlsx]Sheet1'!$B$12</c:f>
              <c:numCache>
                <c:formatCode>General</c:formatCode>
                <c:ptCount val="1"/>
                <c:pt idx="0">
                  <c:v>3514.25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51909773423117"/>
          <c:y val="0.153262037518241"/>
          <c:w val="0.51969906949119"/>
          <c:h val="0.14828660436137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e8dcdd-47ae-4068-b068-ee686efadd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155703974158053"/>
                  <c:y val="-0.15443061201535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74</a:t>
                    </a:r>
                    <a:r>
                      <a:rPr lang="en-US" altLang="zh-CN"/>
                      <a:t>.1</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22269263336156"/>
                      <c:h val="0.09699486928903"/>
                    </c:manualLayout>
                  </c15:layout>
                </c:ext>
              </c:extLst>
            </c:dLbl>
            <c:dLbl>
              <c:idx val="1"/>
              <c:layout>
                <c:manualLayout>
                  <c:x val="0.106984570249667"/>
                  <c:y val="0.16709643043165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a:t>
                    </a:r>
                    <a:r>
                      <a:rPr lang="en-US" altLang="zh-CN"/>
                      <a:t>5.9</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14987298899238"/>
                      <c:h val="0.114097239188859"/>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工作表.xlsx]Sheet1'!$B$16:$C$16</c:f>
              <c:strCache>
                <c:ptCount val="2"/>
                <c:pt idx="0">
                  <c:v>基本支出</c:v>
                </c:pt>
                <c:pt idx="1">
                  <c:v>项目支出</c:v>
                </c:pt>
              </c:strCache>
            </c:strRef>
          </c:cat>
          <c:val>
            <c:numRef>
              <c:f>'[新建 Microsoft Office Excel 工作表.xlsx]Sheet1'!$B$17:$C$17</c:f>
              <c:numCache>
                <c:formatCode>General</c:formatCode>
                <c:ptCount val="2"/>
                <c:pt idx="0">
                  <c:v>2604.52</c:v>
                </c:pt>
                <c:pt idx="1">
                  <c:v>909.72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3221183710652"/>
          <c:y val="0.158622654774692"/>
          <c:w val="0.51969906949119"/>
          <c:h val="0.14828660436137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531b2c-fadc-402f-80e7-15935f1243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manualLayout>
          <c:xMode val="edge"/>
          <c:yMode val="edge"/>
          <c:x val="0.172390214253153"/>
          <c:y val="0.036231884057971"/>
        </c:manualLayout>
      </c:layout>
      <c:overlay val="0"/>
      <c:spPr>
        <a:noFill/>
        <a:ln>
          <a:noFill/>
        </a:ln>
        <a:effectLst/>
      </c:spPr>
    </c:title>
    <c:autoTitleDeleted val="0"/>
    <c:plotArea>
      <c:layout>
        <c:manualLayout>
          <c:layoutTarget val="inner"/>
          <c:xMode val="edge"/>
          <c:yMode val="edge"/>
          <c:x val="0.145813706123689"/>
          <c:y val="0.219806763285024"/>
          <c:w val="0.725330496884972"/>
          <c:h val="0.609082125603865"/>
        </c:manualLayout>
      </c:layout>
      <c:barChart>
        <c:barDir val="col"/>
        <c:grouping val="clustered"/>
        <c:varyColors val="0"/>
        <c:ser>
          <c:idx val="0"/>
          <c:order val="0"/>
          <c:tx>
            <c:strRef>
              <c:f>'[新建 Microsoft Office Excel 工作表.xlsx]Sheet1'!$B$22</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工作表.xlsx]Sheet1'!$A$23:$A$24</c:f>
              <c:strCache>
                <c:ptCount val="2"/>
                <c:pt idx="0">
                  <c:v>财政拨款收入</c:v>
                </c:pt>
                <c:pt idx="1">
                  <c:v>财政拨款支出</c:v>
                </c:pt>
              </c:strCache>
            </c:strRef>
          </c:cat>
          <c:val>
            <c:numRef>
              <c:f>'[新建 Microsoft Office Excel 工作表.xlsx]Sheet1'!$B$23:$B$24</c:f>
              <c:numCache>
                <c:formatCode>General</c:formatCode>
                <c:ptCount val="2"/>
                <c:pt idx="0">
                  <c:v>3473.18</c:v>
                </c:pt>
                <c:pt idx="1">
                  <c:v>3473.18</c:v>
                </c:pt>
              </c:numCache>
            </c:numRef>
          </c:val>
        </c:ser>
        <c:ser>
          <c:idx val="1"/>
          <c:order val="1"/>
          <c:tx>
            <c:strRef>
              <c:f>'[新建 Microsoft Office Excel 工作表.xlsx]Sheet1'!$C$22</c:f>
              <c:strCache>
                <c:ptCount val="1"/>
                <c:pt idx="0">
                  <c:v>2025年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工作表.xlsx]Sheet1'!$A$23:$A$24</c:f>
              <c:strCache>
                <c:ptCount val="2"/>
                <c:pt idx="0">
                  <c:v>财政拨款收入</c:v>
                </c:pt>
                <c:pt idx="1">
                  <c:v>财政拨款支出</c:v>
                </c:pt>
              </c:strCache>
            </c:strRef>
          </c:cat>
          <c:val>
            <c:numRef>
              <c:f>'[新建 Microsoft Office Excel 工作表.xlsx]Sheet1'!$C$23:$C$24</c:f>
              <c:numCache>
                <c:formatCode>General</c:formatCode>
                <c:ptCount val="2"/>
                <c:pt idx="0">
                  <c:v>3514.25</c:v>
                </c:pt>
                <c:pt idx="1">
                  <c:v>3514.25</c:v>
                </c:pt>
              </c:numCache>
            </c:numRef>
          </c:val>
        </c:ser>
        <c:dLbls>
          <c:showLegendKey val="0"/>
          <c:showVal val="1"/>
          <c:showCatName val="0"/>
          <c:showSerName val="0"/>
          <c:showPercent val="0"/>
          <c:showBubbleSize val="0"/>
        </c:dLbls>
        <c:gapWidth val="246"/>
        <c:overlap val="-28"/>
        <c:axId val="489123949"/>
        <c:axId val="505947542"/>
      </c:barChart>
      <c:catAx>
        <c:axId val="489123949"/>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810256036824988"/>
              <c:y val="0.136187351569574"/>
            </c:manualLayout>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947542"/>
        <c:crosses val="autoZero"/>
        <c:auto val="1"/>
        <c:lblAlgn val="ctr"/>
        <c:lblOffset val="100"/>
        <c:noMultiLvlLbl val="0"/>
      </c:catAx>
      <c:valAx>
        <c:axId val="50594754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123949"/>
        <c:crosses val="autoZero"/>
        <c:crossBetween val="between"/>
      </c:valAx>
      <c:spPr>
        <a:noFill/>
        <a:ln>
          <a:noFill/>
        </a:ln>
        <a:effectLst/>
      </c:spPr>
    </c:plotArea>
    <c:legend>
      <c:legendPos val="r"/>
      <c:layout>
        <c:manualLayout>
          <c:xMode val="edge"/>
          <c:yMode val="edge"/>
          <c:x val="0.342045281872056"/>
          <c:y val="0.902356902356902"/>
          <c:w val="0.345540191460264"/>
          <c:h val="0.090684624017957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c6e8b43-e314-417d-89cd-0d1f786d31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一般公共预算财政拨款支出预算变动情况</a:t>
            </a:r>
          </a:p>
        </c:rich>
      </c:tx>
      <c:layout/>
      <c:overlay val="0"/>
      <c:spPr>
        <a:noFill/>
        <a:ln>
          <a:noFill/>
        </a:ln>
        <a:effectLst/>
      </c:spPr>
    </c:title>
    <c:autoTitleDeleted val="0"/>
    <c:plotArea>
      <c:layout>
        <c:manualLayout>
          <c:layoutTarget val="inner"/>
          <c:xMode val="edge"/>
          <c:yMode val="edge"/>
          <c:x val="0.145813706123689"/>
          <c:y val="0.249158249158249"/>
          <c:w val="0.725330496884972"/>
          <c:h val="0.579663299663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工作表.xlsx]Sheet1'!$A$27:$A$28</c:f>
              <c:strCache>
                <c:ptCount val="2"/>
                <c:pt idx="0">
                  <c:v>2024年</c:v>
                </c:pt>
                <c:pt idx="1">
                  <c:v>2025年</c:v>
                </c:pt>
              </c:strCache>
            </c:strRef>
          </c:cat>
          <c:val>
            <c:numRef>
              <c:f>'[新建 Microsoft Office Excel 工作表.xlsx]Sheet1'!$B$27:$B$28</c:f>
              <c:numCache>
                <c:formatCode>General</c:formatCode>
                <c:ptCount val="2"/>
                <c:pt idx="0">
                  <c:v>3473.18</c:v>
                </c:pt>
                <c:pt idx="1">
                  <c:v>3514.25</c:v>
                </c:pt>
              </c:numCache>
            </c:numRef>
          </c:val>
        </c:ser>
        <c:dLbls>
          <c:showLegendKey val="0"/>
          <c:showVal val="1"/>
          <c:showCatName val="0"/>
          <c:showSerName val="0"/>
          <c:showPercent val="0"/>
          <c:showBubbleSize val="0"/>
        </c:dLbls>
        <c:gapWidth val="246"/>
        <c:overlap val="-28"/>
        <c:axId val="489123949"/>
        <c:axId val="505947542"/>
      </c:barChart>
      <c:catAx>
        <c:axId val="489123949"/>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798859592515613"/>
              <c:y val="0.12894097475798"/>
            </c:manualLayout>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947542"/>
        <c:crosses val="autoZero"/>
        <c:auto val="1"/>
        <c:lblAlgn val="ctr"/>
        <c:lblOffset val="100"/>
        <c:noMultiLvlLbl val="0"/>
      </c:catAx>
      <c:valAx>
        <c:axId val="50594754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123949"/>
        <c:crosses val="autoZero"/>
        <c:crossBetween val="between"/>
      </c:valAx>
      <c:spPr>
        <a:noFill/>
        <a:ln>
          <a:noFill/>
        </a:ln>
        <a:effectLst/>
      </c:spPr>
    </c:plotArea>
    <c:plotVisOnly val="1"/>
    <c:dispBlanksAs val="gap"/>
    <c:showDLblsOverMax val="0"/>
    <c:extLst>
      <c:ext uri="{0b15fc19-7d7d-44ad-8c2d-2c3a37ce22c3}">
        <chartProps xmlns="https://web.wps.cn/et/2018/main" chartId="{ec6e8b43-e314-417d-89cd-0d1f786d31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manualLayout>
          <c:xMode val="edge"/>
          <c:yMode val="edge"/>
          <c:x val="0.118415352375625"/>
          <c:y val="0.0460575676929262"/>
        </c:manualLayout>
      </c:layout>
      <c:overlay val="0"/>
      <c:spPr>
        <a:noFill/>
        <a:ln>
          <a:noFill/>
        </a:ln>
        <a:effectLst/>
      </c:spPr>
    </c:title>
    <c:autoTitleDeleted val="0"/>
    <c:plotArea>
      <c:layout>
        <c:manualLayout>
          <c:layoutTarget val="inner"/>
          <c:xMode val="edge"/>
          <c:yMode val="edge"/>
          <c:x val="0.0867567662855222"/>
          <c:y val="0.263959820442864"/>
          <c:w val="0.44980301589458"/>
          <c:h val="0.707781103035485"/>
        </c:manualLayout>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工作表.xlsx]Sheet1'!$A$55:$F$55</c:f>
              <c:strCache>
                <c:ptCount val="6"/>
                <c:pt idx="0">
                  <c:v>社会保障和就业支出</c:v>
                </c:pt>
                <c:pt idx="1">
                  <c:v>卫生健康支出</c:v>
                </c:pt>
                <c:pt idx="2">
                  <c:v>节能环保支出</c:v>
                </c:pt>
                <c:pt idx="3">
                  <c:v>农林水支出</c:v>
                </c:pt>
                <c:pt idx="4">
                  <c:v>住房保障支出</c:v>
                </c:pt>
                <c:pt idx="5">
                  <c:v>其他支出</c:v>
                </c:pt>
              </c:strCache>
            </c:strRef>
          </c:cat>
          <c:val>
            <c:numRef>
              <c:f>'[新建 Microsoft Office Excel 工作表.xlsx]Sheet1'!$A$56:$F$56</c:f>
              <c:numCache>
                <c:formatCode>0.0%</c:formatCode>
                <c:ptCount val="6"/>
                <c:pt idx="0">
                  <c:v>0.254</c:v>
                </c:pt>
                <c:pt idx="1">
                  <c:v>0.007</c:v>
                </c:pt>
                <c:pt idx="2">
                  <c:v>0.116</c:v>
                </c:pt>
                <c:pt idx="3">
                  <c:v>0.531</c:v>
                </c:pt>
                <c:pt idx="4">
                  <c:v>0.044</c:v>
                </c:pt>
                <c:pt idx="5">
                  <c:v>0.048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74981504171884"/>
          <c:y val="0.384191300192043"/>
          <c:w val="0.312321695421818"/>
          <c:h val="0.45313204146011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531b2c-fadc-402f-80e7-15935f1243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a:t>
            </a:r>
            <a:r>
              <a:rPr lang="en-US" altLang="zh-CN"/>
              <a:t>“</a:t>
            </a:r>
            <a:r>
              <a:rPr altLang="en-US"/>
              <a:t>三公</a:t>
            </a:r>
            <a:r>
              <a:rPr lang="en-US" altLang="zh-CN"/>
              <a:t>”</a:t>
            </a:r>
            <a:r>
              <a:rPr altLang="en-US"/>
              <a:t>经费支出结构</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Lbls>
            <c:dLbl>
              <c:idx val="0"/>
              <c:layout>
                <c:manualLayout>
                  <c:x val="0.00592055961733039"/>
                  <c:y val="-0.26174768518608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工作表.xlsx]Sheet1'!$B$59</c:f>
              <c:strCache>
                <c:ptCount val="1"/>
                <c:pt idx="0">
                  <c:v>公务用车购置及运行维护费支出</c:v>
                </c:pt>
              </c:strCache>
            </c:strRef>
          </c:cat>
          <c:val>
            <c:numRef>
              <c:f>'[新建 Microsoft Office Excel 工作表.xlsx]Sheet1'!$B$60</c:f>
              <c:numCache>
                <c:formatCode>General</c:formatCode>
                <c:ptCount val="1"/>
                <c:pt idx="0">
                  <c:v>10.42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13634479900539"/>
          <c:y val="0.198048780487805"/>
          <c:w val="0.591380024865313"/>
          <c:h val="0.1482926829268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e8dcdd-47ae-4068-b068-ee686efadd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0934300a-1fba-4696-b434-24213d184bdd</errorID>
      <errorWord>.....</errorWord>
      <group>L1_Punc</group>
      <groupName>标点问题</groupName>
      <ability>L2_Punc_CN</ability>
      <abilityName>标点符号检查</abilityName>
      <candidateList>
        <item>……</item>
      </candidateList>
      <explain>省略号错误。</explain>
      <paraID> 8C09C8D</paraID>
      <start>22</start>
      <end>24</end>
      <status>modified</status>
      <modifiedWord>……</modifiedWord>
      <trackRevisions>false</trackRevisions>
    </reviewItem>
    <reviewItem>
      <errorID>fe8d69de-f9ad-4850-a4de-b9a799f323b9</errorID>
      <errorWord>,</errorWord>
      <group>L1_Format</group>
      <groupName>格式问题</groupName>
      <ability>L2_HalfPunc_CN</ability>
      <abilityName>全半角检查</abilityName>
      <candidateList>
        <item>，</item>
      </candidateList>
      <explain>文本全半角错误。</explain>
      <paraID>7A87AEB7</paraID>
      <start>142</start>
      <end>143</end>
      <status>modified</status>
      <modifiedWord>，</modifiedWord>
      <trackRevisions>false</trackRevisions>
    </reviewItem>
    <reviewItem>
      <errorID>842e70aa-4f20-49b8-86eb-d84816add3f4</errorID>
      <errorWord>)</errorWord>
      <group>L1_Format</group>
      <groupName>格式问题</groupName>
      <ability>L2_HalfPunc_CN</ability>
      <abilityName>全半角检查</abilityName>
      <candidateList>
        <item>）</item>
      </candidateList>
      <explain>文本全半角错误。</explain>
      <paraID>1A56279F</paraID>
      <start>126</start>
      <end>127</end>
      <status>modified</status>
      <modifiedWord>）</modifiedWord>
      <trackRevisions>false</trackRevisions>
    </reviewItem>
    <reviewItem>
      <errorID>9acfe7dc-191c-4f52-bdc1-80a1495ac87d</errorID>
      <errorWord>:</errorWord>
      <group>L1_Format</group>
      <groupName>格式问题</groupName>
      <ability>L2_HalfPunc_CN</ability>
      <abilityName>全半角检查</abilityName>
      <candidateList>
        <item>：</item>
      </candidateList>
      <explain>文本全半角错误。</explain>
      <paraID>677A301C</paraID>
      <start>35</start>
      <end>36</end>
      <status>modified</status>
      <modifiedWord>：</modifiedWord>
      <trackRevisions>false</trackRevisions>
    </reviewItem>
    <reviewItem>
      <errorID>2812fef2-ab25-4212-9e63-bdaab4da4fbc</errorID>
      <errorWord>:</errorWord>
      <group>L1_Format</group>
      <groupName>格式问题</groupName>
      <ability>L2_HalfPunc_CN</ability>
      <abilityName>全半角检查</abilityName>
      <candidateList>
        <item>：</item>
      </candidateList>
      <explain>文本全半角错误。</explain>
      <paraID>3C17955D</paraID>
      <start>42</start>
      <end>43</end>
      <status>modified</status>
      <modifiedWord>：</modifiedWord>
      <trackRevisions>false</trackRevisions>
    </reviewItem>
    <reviewItem>
      <errorID>1379ae74-1b2d-4b25-b8d7-fae5deed2ff8</errorID>
      <errorWord>:</errorWord>
      <group>L1_Format</group>
      <groupName>格式问题</groupName>
      <ability>L2_HalfPunc_CN</ability>
      <abilityName>全半角检查</abilityName>
      <candidateList>
        <item>：</item>
      </candidateList>
      <explain>文本全半角错误。</explain>
      <paraID>16BDE356</paraID>
      <start>24</start>
      <end>25</end>
      <status>modified</status>
      <modifiedWord>：</modifiedWord>
      <trackRevisions>false</trackRevisions>
    </reviewItem>
    <reviewItem>
      <errorID>3930d776-9e4e-40e6-8ded-1c8303987882</errorID>
      <errorWord>:</errorWord>
      <group>L1_Format</group>
      <groupName>格式问题</groupName>
      <ability>L2_HalfPunc_CN</ability>
      <abilityName>全半角检查</abilityName>
      <candidateList>
        <item>：</item>
      </candidateList>
      <explain>文本全半角错误。</explain>
      <paraID>52B0091A</paraID>
      <start>27</start>
      <end>28</end>
      <status>modified</status>
      <modifiedWord>：</modifiedWord>
      <trackRevisions>false</trackRevisions>
    </reviewItem>
    <reviewItem>
      <errorID>17cd88b4-4005-4fad-b206-0f260587cfa1</errorID>
      <errorWord>:</errorWord>
      <group>L1_Format</group>
      <groupName>格式问题</groupName>
      <ability>L2_HalfPunc_CN</ability>
      <abilityName>全半角检查</abilityName>
      <candidateList>
        <item>：</item>
      </candidateList>
      <explain>文本全半角错误。</explain>
      <paraID>3EAF541A</paraID>
      <start>29</start>
      <end>30</end>
      <status>modified</status>
      <modifiedWord>：</modifiedWord>
      <trackRevisions>false</trackRevisions>
    </reviewItem>
    <reviewItem>
      <errorID>be440dcc-b041-4757-85cb-01196a82ecea</errorID>
      <errorWord>:</errorWord>
      <group>L1_Format</group>
      <groupName>格式问题</groupName>
      <ability>L2_HalfPunc_CN</ability>
      <abilityName>全半角检查</abilityName>
      <candidateList>
        <item>：</item>
      </candidateList>
      <explain>文本全半角错误。</explain>
      <paraID> 33995B5</paraID>
      <start>33</start>
      <end>34</end>
      <status>modified</status>
      <modifiedWord>：</modifiedWord>
      <trackRevisions>false</trackRevisions>
    </reviewItem>
    <reviewItem>
      <errorID>63dc2a8d-25af-4a91-a616-747dd986f9e2</errorID>
      <errorWord>:</errorWord>
      <group>L1_Format</group>
      <groupName>格式问题</groupName>
      <ability>L2_HalfPunc_CN</ability>
      <abilityName>全半角检查</abilityName>
      <candidateList>
        <item>：</item>
      </candidateList>
      <explain>文本全半角错误。</explain>
      <paraID>5EFC782A</paraID>
      <start>25</start>
      <end>26</end>
      <status>modified</status>
      <modifiedWord>：</modifiedWord>
      <trackRevisions>false</trackRevisions>
    </reviewItem>
    <reviewItem>
      <errorID>f2d581a2-fca7-4000-a9f1-b5f54e5524d6</errorID>
      <errorWord>:</errorWord>
      <group>L1_Format</group>
      <groupName>格式问题</groupName>
      <ability>L2_HalfPunc_CN</ability>
      <abilityName>全半角检查</abilityName>
      <candidateList>
        <item>：</item>
      </candidateList>
      <explain>文本全半角错误。</explain>
      <paraID> B9ED6A5</paraID>
      <start>27</start>
      <end>28</end>
      <status>modified</status>
      <modifiedWord>：</modifiedWord>
      <trackRevisions>false</trackRevisions>
    </reviewItem>
    <reviewItem>
      <errorID>96c7cb47-c221-451c-9d41-41eb53571be8</errorID>
      <errorWord>:</errorWord>
      <group>L1_Format</group>
      <groupName>格式问题</groupName>
      <ability>L2_HalfPunc_CN</ability>
      <abilityName>全半角检查</abilityName>
      <candidateList>
        <item>：</item>
      </candidateList>
      <explain>文本全半角错误。</explain>
      <paraID>107661BF</paraID>
      <start>30</start>
      <end>31</end>
      <status>modified</status>
      <modifiedWord>：</modifiedWord>
      <trackRevisions>false</trackRevisions>
    </reviewItem>
    <reviewItem>
      <errorID>901981ef-89d6-4115-bad5-c2020944f140</errorID>
      <errorWord>:</errorWord>
      <group>L1_Format</group>
      <groupName>格式问题</groupName>
      <ability>L2_HalfPunc_CN</ability>
      <abilityName>全半角检查</abilityName>
      <candidateList>
        <item>：</item>
      </candidateList>
      <explain>文本全半角错误。</explain>
      <paraID> C2C4EDC</paraID>
      <start>29</start>
      <end>30</end>
      <status>modified</status>
      <modifiedWord>：</modifiedWord>
      <trackRevisions>false</trackRevisions>
    </reviewItem>
    <reviewItem>
      <errorID>58bdd5ef-763e-40a7-8b09-dc6b78029e9b</errorID>
      <errorWord>:</errorWord>
      <group>L1_Format</group>
      <groupName>格式问题</groupName>
      <ability>L2_HalfPunc_CN</ability>
      <abilityName>全半角检查</abilityName>
      <candidateList>
        <item>：</item>
      </candidateList>
      <explain>文本全半角错误。</explain>
      <paraID>12D5C5CF</paraID>
      <start>32</start>
      <end>33</end>
      <status>modified</status>
      <modifiedWord>：</modifiedWord>
      <trackRevisions>false</trackRevisions>
    </reviewItem>
    <reviewItem>
      <errorID>aef4afe1-1971-48be-b279-2d170652703a</errorID>
      <errorWord>:</errorWord>
      <group>L1_Format</group>
      <groupName>格式问题</groupName>
      <ability>L2_HalfPunc_CN</ability>
      <abilityName>全半角检查</abilityName>
      <candidateList>
        <item>：</item>
      </candidateList>
      <explain>文本全半角错误。</explain>
      <paraID>6321F018</paraID>
      <start>33</start>
      <end>34</end>
      <status>modified</status>
      <modifiedWord>：</modifiedWord>
      <trackRevisions>false</trackRevisions>
    </reviewItem>
    <reviewItem>
      <errorID>58e89592-c603-4707-8e09-9f2d1e47ac7f</errorID>
      <errorWord>:</errorWord>
      <group>L1_Format</group>
      <groupName>格式问题</groupName>
      <ability>L2_HalfPunc_CN</ability>
      <abilityName>全半角检查</abilityName>
      <candidateList>
        <item>：</item>
      </candidateList>
      <explain>文本全半角错误。</explain>
      <paraID>181AC3AD</paraID>
      <start>24</start>
      <end>25</end>
      <status>modified</status>
      <modifiedWord>：</modifiedWord>
      <trackRevisions>false</trackRevisions>
    </reviewItem>
    <reviewItem>
      <errorID>7d80727b-9488-4e35-8b6f-4218ffa1350f</errorID>
      <errorWord>主要是</errorWord>
      <group>L1_Word</group>
      <groupName>字词问题</groupName>
      <ability>L2_Typo</ability>
      <abilityName>字词错误</abilityName>
      <candidateList>
        <item>主要</item>
      </candidateList>
      <explain/>
      <paraID>262FB5A5</paraID>
      <start>121</start>
      <end>123</end>
      <status>modified</status>
      <modifiedWord>主要</modifiedWord>
      <trackRevisions>false</trackRevisions>
    </reviewItem>
    <reviewItem>
      <errorID>be0a1f0f-de5b-4478-9d9a-e03407940413</errorID>
      <errorWord>，</errorWord>
      <group>L1_Word</group>
      <groupName>字词问题</groupName>
      <ability>L2_Typo</ability>
      <abilityName>字词错误</abilityName>
      <candidateList>
        <item>，在</item>
      </candidateList>
      <explain/>
      <paraID>50DB6466</paraID>
      <start>102</start>
      <end>104</end>
      <status>modified</status>
      <modifiedWord>，在</modifiedWord>
      <trackRevisions>false</trackRevisions>
    </reviewItem>
    <reviewItem>
      <errorID>6552a86c-1021-4c2d-9313-38c3998e245c</errorID>
      <errorWord>:</errorWord>
      <group>L1_Format</group>
      <groupName>格式问题</groupName>
      <ability>L2_HalfPunc_CN</ability>
      <abilityName>全半角检查</abilityName>
      <candidateList>
        <item>：</item>
      </candidateList>
      <explain>文本全半角错误。</explain>
      <paraID>7C88A9ED</paraID>
      <start>28</start>
      <end>29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818892-1ac4-4a85-a582-9ca89922602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5394</Words>
  <Characters>6643</Characters>
  <Lines>63</Lines>
  <Paragraphs>17</Paragraphs>
  <TotalTime>81</TotalTime>
  <ScaleCrop>false</ScaleCrop>
  <LinksUpToDate>false</LinksUpToDate>
  <CharactersWithSpaces>6693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苗琪玥</cp:lastModifiedBy>
  <cp:lastPrinted>2026-08-27T00:27:00Z</cp:lastPrinted>
  <dcterms:modified xsi:type="dcterms:W3CDTF">2026-09-14T01:17:03Z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90A71B69F58F4DBB89DECDA10B44E91F_13</vt:lpwstr>
  </property>
  <property fmtid="{D5CDD505-2E9C-101B-9397-08002B2CF9AE}" pid="4" name="KSOTemplateDocerSaveRecord">
    <vt:lpwstr>eyJoZGlkIjoiNDMyZGVhNTA1MWY2NzJlZDY4MTIyODQ3ZDNiOTljN2YiLCJ1c2VySWQiOiIzNjYxNjkxODQifQ==</vt:lpwstr>
  </property>
</Properties>
</file>