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Override PartName="/word/theme/themeOverride6.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558F5D">
      <w:pPr>
        <w:pStyle w:val="8"/>
        <w:spacing w:before="93"/>
        <w:rPr>
          <w:rFonts w:ascii="Times New Roman" w:eastAsia="方正小标宋简体"/>
          <w:kern w:val="2"/>
          <w:sz w:val="72"/>
          <w:szCs w:val="72"/>
        </w:rPr>
      </w:pPr>
      <w:bookmarkStart w:id="0" w:name="_Toc15377425"/>
      <w:bookmarkStart w:id="1" w:name="_Toc15377193"/>
      <w:bookmarkStart w:id="2" w:name="_Toc15396475"/>
      <w:bookmarkStart w:id="3" w:name="_Toc15396597"/>
      <w:bookmarkStart w:id="4" w:name="_Toc15378441"/>
      <w:bookmarkStart w:id="5" w:name="_Toc15306267"/>
    </w:p>
    <w:p w14:paraId="72E84755">
      <w:pPr>
        <w:pStyle w:val="8"/>
        <w:spacing w:before="93"/>
        <w:rPr>
          <w:rFonts w:ascii="Times New Roman" w:eastAsia="方正小标宋简体"/>
          <w:kern w:val="2"/>
          <w:sz w:val="72"/>
          <w:szCs w:val="72"/>
        </w:rPr>
      </w:pPr>
    </w:p>
    <w:p w14:paraId="158232C6">
      <w:pPr>
        <w:pStyle w:val="8"/>
        <w:spacing w:before="93"/>
        <w:rPr>
          <w:rFonts w:ascii="Times New Roman" w:eastAsia="方正小标宋简体"/>
          <w:kern w:val="2"/>
          <w:sz w:val="72"/>
          <w:szCs w:val="72"/>
        </w:rPr>
      </w:pPr>
    </w:p>
    <w:p w14:paraId="5AE53E7F">
      <w:pPr>
        <w:pStyle w:val="8"/>
        <w:spacing w:before="93"/>
        <w:rPr>
          <w:rFonts w:ascii="Times New Roman" w:eastAsia="方正小标宋简体"/>
          <w:kern w:val="2"/>
          <w:sz w:val="72"/>
          <w:szCs w:val="72"/>
        </w:rPr>
      </w:pPr>
    </w:p>
    <w:p w14:paraId="128309FE">
      <w:pPr>
        <w:pStyle w:val="8"/>
        <w:spacing w:before="93"/>
        <w:jc w:val="center"/>
        <w:rPr>
          <w:rFonts w:ascii="Times New Roman" w:eastAsia="方正小标宋简体"/>
          <w:kern w:val="2"/>
          <w:sz w:val="44"/>
          <w:szCs w:val="44"/>
        </w:rPr>
      </w:pPr>
      <w:r>
        <w:rPr>
          <w:rFonts w:hint="eastAsia" w:ascii="Times New Roman" w:eastAsia="方正小标宋简体"/>
          <w:kern w:val="2"/>
          <w:sz w:val="44"/>
          <w:szCs w:val="44"/>
        </w:rPr>
        <w:t>2025年度攀枝花市二滩国家森林公园保护中心（攀枝花市二滩风景名胜区保护中心）</w:t>
      </w:r>
    </w:p>
    <w:p w14:paraId="0F673F5A">
      <w:pPr>
        <w:pStyle w:val="8"/>
        <w:spacing w:before="93"/>
        <w:jc w:val="center"/>
        <w:rPr>
          <w:rFonts w:ascii="Times New Roman" w:eastAsia="方正小标宋简体"/>
          <w:kern w:val="2"/>
          <w:sz w:val="44"/>
          <w:szCs w:val="44"/>
        </w:rPr>
      </w:pPr>
      <w:r>
        <w:rPr>
          <w:rFonts w:hint="eastAsia" w:ascii="Times New Roman" w:eastAsia="方正小标宋简体"/>
          <w:kern w:val="2"/>
          <w:sz w:val="44"/>
          <w:szCs w:val="44"/>
        </w:rPr>
        <w:t>单位决算公开编制说明及样表</w:t>
      </w:r>
    </w:p>
    <w:p w14:paraId="1ADA21AB">
      <w:pPr>
        <w:spacing w:line="600" w:lineRule="exact"/>
        <w:jc w:val="center"/>
        <w:outlineLvl w:val="0"/>
        <w:rPr>
          <w:rFonts w:eastAsia="方正小标宋简体"/>
          <w:sz w:val="72"/>
          <w:szCs w:val="72"/>
        </w:rPr>
      </w:pPr>
    </w:p>
    <w:p w14:paraId="4E6452E2">
      <w:pPr>
        <w:pStyle w:val="19"/>
        <w:rPr>
          <w:rFonts w:ascii="Times New Roman" w:hAnsi="Times New Roman"/>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p>
    <w:p w14:paraId="3F1114DD"/>
    <w:p w14:paraId="24B46138">
      <w:pPr>
        <w:pStyle w:val="8"/>
        <w:spacing w:before="93"/>
        <w:jc w:val="center"/>
        <w:rPr>
          <w:rFonts w:ascii="Times New Roman" w:eastAsia="方正小标宋简体"/>
          <w:kern w:val="2"/>
          <w:sz w:val="44"/>
          <w:szCs w:val="44"/>
        </w:rPr>
      </w:pPr>
    </w:p>
    <w:p w14:paraId="6F3C32A4">
      <w:pPr>
        <w:pStyle w:val="8"/>
        <w:spacing w:before="93"/>
        <w:jc w:val="center"/>
        <w:rPr>
          <w:rFonts w:ascii="Times New Roman" w:eastAsia="方正小标宋简体"/>
          <w:kern w:val="2"/>
          <w:sz w:val="44"/>
          <w:szCs w:val="44"/>
        </w:rPr>
      </w:pPr>
    </w:p>
    <w:p w14:paraId="134149AD">
      <w:pPr>
        <w:pStyle w:val="8"/>
        <w:spacing w:before="93"/>
        <w:jc w:val="center"/>
        <w:rPr>
          <w:rFonts w:ascii="Times New Roman" w:eastAsia="方正小标宋简体"/>
          <w:kern w:val="2"/>
          <w:sz w:val="44"/>
          <w:szCs w:val="44"/>
        </w:rPr>
      </w:pPr>
    </w:p>
    <w:p w14:paraId="31CDEB03">
      <w:pPr>
        <w:pStyle w:val="8"/>
        <w:spacing w:before="93"/>
        <w:jc w:val="center"/>
        <w:rPr>
          <w:rFonts w:ascii="Times New Roman" w:eastAsia="方正小标宋简体"/>
          <w:kern w:val="2"/>
          <w:sz w:val="44"/>
          <w:szCs w:val="44"/>
        </w:rPr>
      </w:pPr>
    </w:p>
    <w:bookmarkEnd w:id="0"/>
    <w:bookmarkEnd w:id="1"/>
    <w:bookmarkEnd w:id="2"/>
    <w:bookmarkEnd w:id="3"/>
    <w:bookmarkEnd w:id="4"/>
    <w:p w14:paraId="119D26B8">
      <w:pPr>
        <w:pStyle w:val="8"/>
        <w:spacing w:before="93"/>
        <w:jc w:val="center"/>
        <w:rPr>
          <w:rFonts w:ascii="Times New Roman" w:eastAsia="方正小标宋简体"/>
          <w:kern w:val="2"/>
          <w:sz w:val="44"/>
          <w:szCs w:val="44"/>
        </w:rPr>
      </w:pPr>
      <w:bookmarkStart w:id="6" w:name="_Toc15396598"/>
      <w:bookmarkStart w:id="7" w:name="_Toc15396476"/>
      <w:bookmarkStart w:id="8" w:name="_Toc15378442"/>
      <w:bookmarkStart w:id="9" w:name="_Toc15377426"/>
      <w:bookmarkStart w:id="10" w:name="_Toc15377194"/>
      <w:r>
        <w:rPr>
          <w:rFonts w:hint="eastAsia" w:ascii="Times New Roman" w:eastAsia="方正小标宋简体"/>
          <w:kern w:val="2"/>
          <w:sz w:val="44"/>
          <w:szCs w:val="44"/>
        </w:rPr>
        <w:t>2025年度</w:t>
      </w:r>
      <w:bookmarkEnd w:id="5"/>
      <w:bookmarkStart w:id="11" w:name="_Toc15306268"/>
    </w:p>
    <w:p w14:paraId="6DBCB9FA">
      <w:pPr>
        <w:pStyle w:val="8"/>
        <w:spacing w:before="93"/>
        <w:jc w:val="center"/>
        <w:rPr>
          <w:rFonts w:ascii="Times New Roman" w:eastAsia="方正小标宋简体"/>
          <w:kern w:val="2"/>
          <w:sz w:val="44"/>
          <w:szCs w:val="44"/>
        </w:rPr>
      </w:pPr>
      <w:r>
        <w:rPr>
          <w:rFonts w:hint="eastAsia" w:ascii="Times New Roman" w:eastAsia="方正小标宋简体"/>
          <w:kern w:val="2"/>
          <w:sz w:val="44"/>
          <w:szCs w:val="44"/>
        </w:rPr>
        <w:t>攀枝花市二滩国家森林公园保护中心（攀枝花市二滩风景名胜区保护中心）</w:t>
      </w:r>
    </w:p>
    <w:p w14:paraId="5BC79C8A">
      <w:pPr>
        <w:pStyle w:val="8"/>
        <w:spacing w:before="93"/>
        <w:jc w:val="center"/>
        <w:rPr>
          <w:rFonts w:ascii="Times New Roman" w:eastAsia="方正小标宋简体"/>
          <w:kern w:val="2"/>
          <w:sz w:val="44"/>
          <w:szCs w:val="44"/>
        </w:rPr>
      </w:pPr>
      <w:r>
        <w:rPr>
          <w:rFonts w:hint="eastAsia" w:ascii="Times New Roman" w:eastAsia="方正小标宋简体"/>
          <w:kern w:val="2"/>
          <w:sz w:val="44"/>
          <w:szCs w:val="44"/>
        </w:rPr>
        <w:t>单位决算</w:t>
      </w:r>
      <w:bookmarkEnd w:id="6"/>
      <w:bookmarkEnd w:id="7"/>
      <w:bookmarkEnd w:id="8"/>
      <w:bookmarkEnd w:id="9"/>
      <w:bookmarkEnd w:id="10"/>
      <w:bookmarkEnd w:id="11"/>
    </w:p>
    <w:p w14:paraId="00571A83">
      <w:pPr>
        <w:pStyle w:val="14"/>
        <w:adjustRightInd w:val="0"/>
        <w:snapToGrid w:val="0"/>
        <w:spacing w:line="560" w:lineRule="exact"/>
        <w:jc w:val="left"/>
        <w:rPr>
          <w:rFonts w:eastAsia="仿宋_GB2312" w:cs="仿宋_GB2312"/>
          <w:sz w:val="32"/>
          <w:szCs w:val="32"/>
        </w:rPr>
      </w:pPr>
    </w:p>
    <w:p w14:paraId="76D2AB03">
      <w:pPr>
        <w:widowControl/>
        <w:jc w:val="center"/>
        <w:rPr>
          <w:rFonts w:eastAsia="黑体"/>
          <w:sz w:val="48"/>
          <w:szCs w:val="48"/>
        </w:rPr>
        <w:sectPr>
          <w:footerReference r:id="rId7" w:type="first"/>
          <w:headerReference r:id="rId5" w:type="default"/>
          <w:footerReference r:id="rId6" w:type="default"/>
          <w:pgSz w:w="11906" w:h="16838"/>
          <w:pgMar w:top="1440" w:right="1800" w:bottom="1440" w:left="1800" w:header="851" w:footer="992" w:gutter="0"/>
          <w:pgNumType w:start="1"/>
          <w:cols w:space="425" w:num="1"/>
          <w:titlePg/>
          <w:docGrid w:type="lines" w:linePitch="312" w:charSpace="0"/>
        </w:sectPr>
      </w:pPr>
    </w:p>
    <w:p w14:paraId="4D6A9D4C">
      <w:pPr>
        <w:widowControl/>
        <w:jc w:val="center"/>
        <w:rPr>
          <w:rFonts w:eastAsia="黑体"/>
          <w:sz w:val="48"/>
          <w:szCs w:val="48"/>
        </w:rPr>
      </w:pPr>
      <w:r>
        <w:rPr>
          <w:rFonts w:hint="eastAsia" w:eastAsia="黑体"/>
          <w:sz w:val="48"/>
          <w:szCs w:val="48"/>
        </w:rPr>
        <w:t>目录</w:t>
      </w:r>
    </w:p>
    <w:p w14:paraId="2591AC1C">
      <w:pPr>
        <w:widowControl/>
        <w:jc w:val="center"/>
        <w:rPr>
          <w:rFonts w:eastAsia="黑体" w:cstheme="minorBidi"/>
          <w:sz w:val="28"/>
          <w:szCs w:val="28"/>
        </w:rPr>
      </w:pPr>
    </w:p>
    <w:p w14:paraId="46105E43">
      <w:pPr>
        <w:pStyle w:val="13"/>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公开时间：2026年9月</w:t>
      </w:r>
      <w:r>
        <w:rPr>
          <w:rFonts w:hint="eastAsia" w:ascii="Times New Roman" w:hAnsi="Times New Roman" w:eastAsia="仿宋_GB2312" w:cs="仿宋_GB2312"/>
          <w:sz w:val="32"/>
          <w:szCs w:val="32"/>
          <w:lang w:val="en-US" w:eastAsia="zh-CN"/>
        </w:rPr>
        <w:t>1</w:t>
      </w:r>
      <w:bookmarkStart w:id="67" w:name="_GoBack"/>
      <w:bookmarkEnd w:id="67"/>
      <w:r>
        <w:rPr>
          <w:rFonts w:hint="eastAsia" w:ascii="Times New Roman" w:hAnsi="Times New Roman" w:eastAsia="仿宋_GB2312" w:cs="仿宋_GB2312"/>
          <w:sz w:val="32"/>
          <w:szCs w:val="32"/>
        </w:rPr>
        <w:t>4日</w:t>
      </w:r>
    </w:p>
    <w:p w14:paraId="3D1D357F"/>
    <w:p w14:paraId="498DBFDE">
      <w:pPr>
        <w:pStyle w:val="13"/>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第一部分 部门概况</w:t>
      </w:r>
      <w:r>
        <w:rPr>
          <w:rFonts w:ascii="Times New Roman" w:hAnsi="Times New Roman"/>
          <w:sz w:val="24"/>
          <w:szCs w:val="24"/>
        </w:rPr>
        <w:tab/>
      </w:r>
      <w:r>
        <w:rPr>
          <w:rFonts w:hint="eastAsia" w:ascii="Times New Roman" w:hAnsi="Times New Roman"/>
          <w:sz w:val="24"/>
          <w:szCs w:val="24"/>
        </w:rPr>
        <w:t>3</w:t>
      </w:r>
    </w:p>
    <w:p w14:paraId="75F341F4">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一、部门职责</w:t>
      </w:r>
      <w:r>
        <w:rPr>
          <w:sz w:val="24"/>
        </w:rPr>
        <w:tab/>
      </w:r>
      <w:r>
        <w:rPr>
          <w:rFonts w:hint="eastAsia"/>
          <w:sz w:val="24"/>
        </w:rPr>
        <w:t>3</w:t>
      </w:r>
    </w:p>
    <w:p w14:paraId="3369055B">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二、机构设置</w:t>
      </w:r>
      <w:r>
        <w:rPr>
          <w:sz w:val="24"/>
        </w:rPr>
        <w:tab/>
      </w:r>
      <w:r>
        <w:rPr>
          <w:rFonts w:hint="eastAsia"/>
          <w:sz w:val="24"/>
        </w:rPr>
        <w:t>3</w:t>
      </w:r>
    </w:p>
    <w:p w14:paraId="73A015D4">
      <w:pPr>
        <w:pStyle w:val="13"/>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第二部分 2025年度部门决算情况说明</w:t>
      </w:r>
      <w:r>
        <w:rPr>
          <w:rFonts w:ascii="Times New Roman" w:hAnsi="Times New Roman"/>
          <w:sz w:val="24"/>
          <w:szCs w:val="24"/>
        </w:rPr>
        <w:tab/>
      </w:r>
      <w:r>
        <w:rPr>
          <w:rFonts w:hint="eastAsia" w:ascii="Times New Roman" w:hAnsi="Times New Roman"/>
          <w:sz w:val="24"/>
          <w:szCs w:val="24"/>
        </w:rPr>
        <w:t>5</w:t>
      </w:r>
    </w:p>
    <w:p w14:paraId="4347849B">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一、收入支出决算总体情况说明</w:t>
      </w:r>
      <w:r>
        <w:rPr>
          <w:sz w:val="24"/>
        </w:rPr>
        <w:tab/>
      </w:r>
      <w:r>
        <w:rPr>
          <w:rFonts w:hint="eastAsia"/>
          <w:sz w:val="24"/>
        </w:rPr>
        <w:t>5</w:t>
      </w:r>
    </w:p>
    <w:p w14:paraId="4ADC2811">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二、收入决算情况说明</w:t>
      </w:r>
      <w:r>
        <w:rPr>
          <w:sz w:val="24"/>
        </w:rPr>
        <w:tab/>
      </w:r>
      <w:r>
        <w:rPr>
          <w:rFonts w:hint="eastAsia"/>
          <w:sz w:val="24"/>
        </w:rPr>
        <w:t>5</w:t>
      </w:r>
    </w:p>
    <w:p w14:paraId="4CCA4181">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三、支出决算情况说明</w:t>
      </w:r>
      <w:r>
        <w:rPr>
          <w:sz w:val="24"/>
        </w:rPr>
        <w:tab/>
      </w:r>
      <w:r>
        <w:rPr>
          <w:rFonts w:hint="eastAsia"/>
          <w:sz w:val="24"/>
        </w:rPr>
        <w:t>6</w:t>
      </w:r>
    </w:p>
    <w:p w14:paraId="7E4FF3E9">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四、财政拨款收入支出决算总体情况说明</w:t>
      </w:r>
      <w:r>
        <w:rPr>
          <w:sz w:val="24"/>
        </w:rPr>
        <w:tab/>
      </w:r>
      <w:r>
        <w:rPr>
          <w:rFonts w:hint="eastAsia"/>
          <w:sz w:val="24"/>
        </w:rPr>
        <w:t>6</w:t>
      </w:r>
    </w:p>
    <w:p w14:paraId="0A945573">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五、一般公共预算财政拨款支出决算情况说明</w:t>
      </w:r>
      <w:r>
        <w:rPr>
          <w:sz w:val="24"/>
        </w:rPr>
        <w:tab/>
      </w:r>
      <w:r>
        <w:rPr>
          <w:rFonts w:hint="eastAsia"/>
          <w:sz w:val="24"/>
        </w:rPr>
        <w:t>7</w:t>
      </w:r>
    </w:p>
    <w:p w14:paraId="29267583">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六、一般公共预算财政拨款基本支出决算情况说明</w:t>
      </w:r>
      <w:r>
        <w:rPr>
          <w:sz w:val="24"/>
        </w:rPr>
        <w:tab/>
      </w:r>
      <w:r>
        <w:rPr>
          <w:rFonts w:hint="eastAsia"/>
          <w:sz w:val="24"/>
        </w:rPr>
        <w:t>9</w:t>
      </w:r>
    </w:p>
    <w:p w14:paraId="31E6E507">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七、财政拨款“三公”经费支出决算情况说明</w:t>
      </w:r>
      <w:r>
        <w:rPr>
          <w:sz w:val="24"/>
        </w:rPr>
        <w:tab/>
      </w:r>
      <w:r>
        <w:rPr>
          <w:rFonts w:hint="eastAsia"/>
          <w:sz w:val="24"/>
        </w:rPr>
        <w:t>9</w:t>
      </w:r>
    </w:p>
    <w:p w14:paraId="2A7DC2FB">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八、政府性基金预算支出决算情况说明</w:t>
      </w:r>
      <w:r>
        <w:rPr>
          <w:sz w:val="24"/>
        </w:rPr>
        <w:tab/>
      </w:r>
      <w:r>
        <w:rPr>
          <w:rFonts w:hint="eastAsia"/>
          <w:sz w:val="24"/>
        </w:rPr>
        <w:t>11</w:t>
      </w:r>
    </w:p>
    <w:p w14:paraId="41EFE74B">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九、国有资本经营预算支出决算情况说明</w:t>
      </w:r>
      <w:r>
        <w:rPr>
          <w:sz w:val="24"/>
        </w:rPr>
        <w:tab/>
      </w:r>
      <w:r>
        <w:rPr>
          <w:rFonts w:hint="eastAsia"/>
          <w:sz w:val="24"/>
        </w:rPr>
        <w:t>11</w:t>
      </w:r>
    </w:p>
    <w:p w14:paraId="4E5A5DEC">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十、其他重要事项的情况说明</w:t>
      </w:r>
      <w:r>
        <w:rPr>
          <w:sz w:val="24"/>
        </w:rPr>
        <w:tab/>
      </w:r>
      <w:r>
        <w:rPr>
          <w:rFonts w:hint="eastAsia"/>
          <w:sz w:val="24"/>
        </w:rPr>
        <w:t>11</w:t>
      </w:r>
    </w:p>
    <w:p w14:paraId="2E0EFF85">
      <w:pPr>
        <w:pStyle w:val="13"/>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第三部分 名词解释</w:t>
      </w:r>
      <w:r>
        <w:rPr>
          <w:rFonts w:ascii="Times New Roman" w:hAnsi="Times New Roman"/>
          <w:sz w:val="24"/>
          <w:szCs w:val="24"/>
        </w:rPr>
        <w:tab/>
      </w:r>
      <w:r>
        <w:rPr>
          <w:rFonts w:hint="eastAsia" w:ascii="Times New Roman" w:hAnsi="Times New Roman"/>
          <w:sz w:val="24"/>
          <w:szCs w:val="24"/>
        </w:rPr>
        <w:t>14</w:t>
      </w:r>
    </w:p>
    <w:p w14:paraId="0FDCD597">
      <w:pPr>
        <w:pStyle w:val="13"/>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第四部分 附件</w:t>
      </w:r>
      <w:r>
        <w:rPr>
          <w:rFonts w:ascii="Times New Roman" w:hAnsi="Times New Roman"/>
          <w:sz w:val="24"/>
          <w:szCs w:val="24"/>
        </w:rPr>
        <w:tab/>
      </w:r>
      <w:r>
        <w:rPr>
          <w:rFonts w:hint="eastAsia" w:ascii="Times New Roman" w:hAnsi="Times New Roman"/>
          <w:sz w:val="24"/>
          <w:szCs w:val="24"/>
        </w:rPr>
        <w:t>16</w:t>
      </w:r>
    </w:p>
    <w:p w14:paraId="50363F91">
      <w:pPr>
        <w:pStyle w:val="13"/>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第五部分 附表</w:t>
      </w:r>
      <w:r>
        <w:rPr>
          <w:rFonts w:ascii="Times New Roman" w:hAnsi="Times New Roman"/>
          <w:sz w:val="24"/>
          <w:szCs w:val="24"/>
        </w:rPr>
        <w:tab/>
      </w:r>
      <w:r>
        <w:rPr>
          <w:rFonts w:hint="eastAsia" w:ascii="Times New Roman" w:hAnsi="Times New Roman"/>
          <w:sz w:val="24"/>
          <w:szCs w:val="24"/>
        </w:rPr>
        <w:t>17</w:t>
      </w:r>
    </w:p>
    <w:p w14:paraId="6A78EB54">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一、收入支出决算总表</w:t>
      </w:r>
    </w:p>
    <w:p w14:paraId="6B297234">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二、收入决算表</w:t>
      </w:r>
    </w:p>
    <w:p w14:paraId="7A5FC8A3">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三、支出决算表</w:t>
      </w:r>
    </w:p>
    <w:p w14:paraId="69A3001E">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四、财政拨款收入支出决算总表</w:t>
      </w:r>
    </w:p>
    <w:p w14:paraId="086A3A56">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五、财政拨款支出决算明细表</w:t>
      </w:r>
    </w:p>
    <w:p w14:paraId="0662D426">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六、一般公共预算财政拨款支出决算表</w:t>
      </w:r>
    </w:p>
    <w:p w14:paraId="4186A2B6">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七、一般公共预算财政拨款支出决算明细表</w:t>
      </w:r>
    </w:p>
    <w:p w14:paraId="3EF6E290">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八、一般公共预算财政拨款基本支出决算明细表</w:t>
      </w:r>
    </w:p>
    <w:p w14:paraId="1E71201E">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九、一般公共预算财政拨款项目支出决算表</w:t>
      </w:r>
    </w:p>
    <w:p w14:paraId="41E9B2B3">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十、政府性基金预算财政拨款收入支出决算表</w:t>
      </w:r>
    </w:p>
    <w:p w14:paraId="328814F9">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十一、国有资本经营预算财政拨款收入支出决算表</w:t>
      </w:r>
    </w:p>
    <w:p w14:paraId="330F6EB5">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十二、国有资本经营预算财政拨款支出决算表</w:t>
      </w:r>
    </w:p>
    <w:p w14:paraId="3B2D5AF9">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十三、财政拨款“三公”经费支出决算表</w:t>
      </w:r>
    </w:p>
    <w:p w14:paraId="250C2B37">
      <w:pPr>
        <w:widowControl/>
        <w:spacing w:line="560" w:lineRule="exact"/>
        <w:jc w:val="left"/>
        <w:rPr>
          <w:rFonts w:eastAsia="仿宋_GB2312" w:cs="仿宋_GB2312"/>
          <w:bCs/>
          <w:kern w:val="44"/>
          <w:sz w:val="32"/>
          <w:szCs w:val="32"/>
        </w:rPr>
      </w:pPr>
      <w:bookmarkStart w:id="12" w:name="_Toc15396599"/>
      <w:bookmarkStart w:id="13" w:name="_Toc15377196"/>
      <w:r>
        <w:rPr>
          <w:rFonts w:hint="eastAsia" w:eastAsia="仿宋_GB2312" w:cs="仿宋_GB2312"/>
          <w:b/>
          <w:sz w:val="32"/>
          <w:szCs w:val="32"/>
        </w:rPr>
        <w:br w:type="page"/>
      </w:r>
    </w:p>
    <w:p w14:paraId="5A99C086">
      <w:pPr>
        <w:pStyle w:val="5"/>
        <w:jc w:val="center"/>
        <w:rPr>
          <w:rStyle w:val="28"/>
          <w:rFonts w:eastAsia="方正小标宋简体" w:cs="方正小标宋简体"/>
          <w:b/>
          <w:bCs w:val="0"/>
        </w:rPr>
      </w:pPr>
      <w:r>
        <w:rPr>
          <w:rFonts w:hint="eastAsia" w:eastAsia="方正小标宋简体" w:cs="方正小标宋简体"/>
          <w:b w:val="0"/>
        </w:rPr>
        <w:t xml:space="preserve">第一部分  </w:t>
      </w:r>
      <w:r>
        <w:rPr>
          <w:rStyle w:val="28"/>
          <w:rFonts w:hint="eastAsia" w:eastAsia="方正小标宋简体" w:cs="方正小标宋简体"/>
          <w:b w:val="0"/>
          <w:bCs w:val="0"/>
        </w:rPr>
        <w:t>部门概况</w:t>
      </w:r>
      <w:bookmarkEnd w:id="12"/>
      <w:bookmarkEnd w:id="13"/>
    </w:p>
    <w:p w14:paraId="25BBF4E1">
      <w:pPr>
        <w:widowControl/>
        <w:spacing w:line="600" w:lineRule="exact"/>
        <w:jc w:val="left"/>
        <w:rPr>
          <w:rFonts w:eastAsia="黑体"/>
          <w:sz w:val="32"/>
          <w:szCs w:val="32"/>
        </w:rPr>
      </w:pPr>
    </w:p>
    <w:p w14:paraId="33FAE1AE">
      <w:pPr>
        <w:pStyle w:val="6"/>
        <w:numPr>
          <w:ilvl w:val="0"/>
          <w:numId w:val="1"/>
        </w:numPr>
        <w:spacing w:before="0" w:after="0" w:line="600" w:lineRule="exact"/>
      </w:pPr>
      <w:r>
        <w:rPr>
          <w:rFonts w:hint="eastAsia" w:ascii="Times New Roman" w:hAnsi="Times New Roman" w:eastAsia="黑体"/>
          <w:b w:val="0"/>
        </w:rPr>
        <w:t>部门职责</w:t>
      </w:r>
    </w:p>
    <w:p w14:paraId="308F36B3">
      <w:pPr>
        <w:spacing w:line="600" w:lineRule="exact"/>
        <w:ind w:firstLine="640" w:firstLineChars="200"/>
        <w:rPr>
          <w:rFonts w:eastAsia="仿宋_GB2312"/>
          <w:color w:val="000000"/>
          <w:sz w:val="32"/>
          <w:szCs w:val="32"/>
        </w:rPr>
      </w:pPr>
      <w:r>
        <w:rPr>
          <w:rFonts w:eastAsia="仿宋_GB2312"/>
          <w:color w:val="000000"/>
          <w:sz w:val="32"/>
          <w:szCs w:val="32"/>
        </w:rPr>
        <w:t>攀枝花市二滩国家森林公园保护中心的主要职责为：1.负责二滩现有森林资源的保护、开发、利用；2.负责公园内旅游项目的规划、开发、建设及管理。</w:t>
      </w:r>
    </w:p>
    <w:p w14:paraId="3CD837B9">
      <w:pPr>
        <w:spacing w:line="600" w:lineRule="exact"/>
        <w:ind w:firstLine="640" w:firstLineChars="200"/>
        <w:rPr>
          <w:rFonts w:eastAsia="仿宋_GB2312"/>
        </w:rPr>
      </w:pPr>
      <w:r>
        <w:rPr>
          <w:rFonts w:eastAsia="仿宋_GB2312"/>
          <w:sz w:val="32"/>
          <w:szCs w:val="32"/>
        </w:rPr>
        <w:t>攀枝花市二滩风景名胜区保护中心的主要职责是：1.规划管理：参与编制景区建设总体规划和景区详细建设规划。初审开发建设项目规划，审查建设项目可行性报告，出具选址定点意见，审查建设项目设计方案；2.土地资源管理：核定建设项目用地位置和界限；3.林地资源管理：审查占用、征用或转让景区范围内的林地；4.监督管理：负责保护景区内的森林、水源和自然、人文景观不受破坏和污染；5.行政执法管理：负责景区范围内有关</w:t>
      </w:r>
      <w:r>
        <w:rPr>
          <w:rFonts w:hint="eastAsia" w:eastAsia="仿宋_GB2312"/>
          <w:sz w:val="32"/>
          <w:szCs w:val="32"/>
          <w:lang w:eastAsia="zh-CN"/>
        </w:rPr>
        <w:t>法律法规</w:t>
      </w:r>
      <w:r>
        <w:rPr>
          <w:rFonts w:eastAsia="仿宋_GB2312"/>
          <w:sz w:val="32"/>
          <w:szCs w:val="32"/>
        </w:rPr>
        <w:t>的行政执法工作；6.负责景区对外宣传和招商引资工作；7.经营管理：负责对景区范围内从事经营活动的单位和个人依法进行监督管理；8.协助市交通、环保和公安等部门开展港监、环保、治安管理工作。</w:t>
      </w:r>
    </w:p>
    <w:p w14:paraId="5323FC59">
      <w:pPr>
        <w:pStyle w:val="6"/>
        <w:spacing w:line="600" w:lineRule="exact"/>
        <w:rPr>
          <w:rStyle w:val="29"/>
          <w:rFonts w:ascii="Times New Roman" w:hAnsi="Times New Roman"/>
          <w:b w:val="0"/>
          <w:bCs w:val="0"/>
        </w:rPr>
      </w:pPr>
      <w:bookmarkStart w:id="14" w:name="_Toc15377200"/>
      <w:bookmarkStart w:id="15" w:name="_Toc15396601"/>
      <w:r>
        <w:rPr>
          <w:rFonts w:hint="eastAsia" w:ascii="Times New Roman" w:hAnsi="Times New Roman" w:eastAsia="黑体"/>
          <w:b w:val="0"/>
        </w:rPr>
        <w:t>二、机</w:t>
      </w:r>
      <w:r>
        <w:rPr>
          <w:rStyle w:val="29"/>
          <w:rFonts w:hint="eastAsia" w:ascii="Times New Roman" w:hAnsi="Times New Roman" w:eastAsia="黑体"/>
          <w:b w:val="0"/>
          <w:bCs w:val="0"/>
        </w:rPr>
        <w:t>构设置</w:t>
      </w:r>
      <w:bookmarkEnd w:id="14"/>
      <w:bookmarkEnd w:id="15"/>
    </w:p>
    <w:p w14:paraId="3E0627A2">
      <w:pPr>
        <w:snapToGrid w:val="0"/>
        <w:spacing w:line="600" w:lineRule="exact"/>
        <w:ind w:firstLine="640" w:firstLineChars="200"/>
        <w:rPr>
          <w:rFonts w:eastAsia="仿宋_GB2312" w:cs="仿宋_GB2312"/>
          <w:sz w:val="32"/>
          <w:szCs w:val="32"/>
        </w:rPr>
      </w:pPr>
      <w:r>
        <w:rPr>
          <w:rFonts w:eastAsia="仿宋_GB2312"/>
          <w:sz w:val="32"/>
          <w:szCs w:val="32"/>
        </w:rPr>
        <w:t>我单位为市林业局直属管理二级独立核算参照公务员法管理全额拨款公益一类事业单位，本年度机构无变动情况。</w:t>
      </w:r>
      <w:r>
        <w:rPr>
          <w:rFonts w:eastAsia="仿宋_GB2312"/>
          <w:color w:val="000000"/>
          <w:sz w:val="32"/>
          <w:szCs w:val="32"/>
        </w:rPr>
        <w:t>人员编制为7名，实有人员为</w:t>
      </w:r>
      <w:r>
        <w:rPr>
          <w:rFonts w:hint="eastAsia" w:eastAsia="仿宋_GB2312"/>
          <w:color w:val="000000"/>
          <w:sz w:val="32"/>
          <w:szCs w:val="32"/>
        </w:rPr>
        <w:t>7</w:t>
      </w:r>
      <w:r>
        <w:rPr>
          <w:rFonts w:eastAsia="仿宋_GB2312"/>
          <w:color w:val="000000"/>
          <w:sz w:val="32"/>
          <w:szCs w:val="32"/>
        </w:rPr>
        <w:t>名，退休人员5名（已交社保统一管理）。</w:t>
      </w:r>
    </w:p>
    <w:p w14:paraId="14C31BEB">
      <w:pPr>
        <w:widowControl/>
        <w:spacing w:line="600" w:lineRule="exact"/>
        <w:jc w:val="left"/>
        <w:rPr>
          <w:rFonts w:eastAsia="仿宋_GB2312"/>
          <w:kern w:val="0"/>
          <w:sz w:val="32"/>
          <w:szCs w:val="32"/>
        </w:rPr>
      </w:pPr>
      <w:r>
        <w:rPr>
          <w:rFonts w:eastAsia="仿宋_GB2312"/>
          <w:sz w:val="32"/>
          <w:szCs w:val="32"/>
        </w:rPr>
        <w:br w:type="page"/>
      </w:r>
    </w:p>
    <w:p w14:paraId="4E83BA70">
      <w:pPr>
        <w:pStyle w:val="5"/>
        <w:jc w:val="center"/>
        <w:rPr>
          <w:rFonts w:eastAsia="方正小标宋简体" w:cs="方正小标宋简体"/>
          <w:b w:val="0"/>
        </w:rPr>
      </w:pPr>
      <w:bookmarkStart w:id="16" w:name="_Toc15377204"/>
      <w:bookmarkStart w:id="17" w:name="_Toc15396602"/>
      <w:r>
        <w:rPr>
          <w:rFonts w:hint="eastAsia" w:eastAsia="方正小标宋简体" w:cs="方正小标宋简体"/>
          <w:b w:val="0"/>
        </w:rPr>
        <w:t>第二部分  2025年度部门决算情况说明</w:t>
      </w:r>
      <w:bookmarkEnd w:id="16"/>
      <w:bookmarkEnd w:id="17"/>
    </w:p>
    <w:p w14:paraId="2EFCE00E"/>
    <w:p w14:paraId="0BCBA4E5">
      <w:pPr>
        <w:pStyle w:val="27"/>
        <w:spacing w:line="600" w:lineRule="exact"/>
        <w:ind w:firstLine="640"/>
        <w:outlineLvl w:val="1"/>
        <w:rPr>
          <w:rStyle w:val="29"/>
          <w:rFonts w:ascii="Times New Roman" w:hAnsi="Times New Roman" w:eastAsia="黑体"/>
          <w:b w:val="0"/>
        </w:rPr>
      </w:pPr>
      <w:bookmarkStart w:id="18" w:name="_Toc15377205"/>
      <w:bookmarkStart w:id="19" w:name="_Toc15396603"/>
      <w:r>
        <w:rPr>
          <w:rFonts w:hint="eastAsia" w:eastAsia="黑体"/>
          <w:sz w:val="32"/>
          <w:szCs w:val="32"/>
        </w:rPr>
        <w:t>一、收</w:t>
      </w:r>
      <w:r>
        <w:rPr>
          <w:rStyle w:val="29"/>
          <w:rFonts w:hint="eastAsia" w:ascii="Times New Roman" w:hAnsi="Times New Roman" w:eastAsia="黑体"/>
          <w:b w:val="0"/>
        </w:rPr>
        <w:t>入支出决算总体情况说明</w:t>
      </w:r>
      <w:bookmarkEnd w:id="18"/>
      <w:bookmarkEnd w:id="19"/>
    </w:p>
    <w:p w14:paraId="2B968630">
      <w:pPr>
        <w:pStyle w:val="27"/>
        <w:spacing w:line="600" w:lineRule="exact"/>
        <w:ind w:firstLine="640"/>
        <w:outlineLvl w:val="1"/>
        <w:rPr>
          <w:rFonts w:eastAsia="仿宋_GB2312" w:cs="仿宋_GB2312"/>
          <w:sz w:val="32"/>
          <w:szCs w:val="32"/>
        </w:rPr>
      </w:pPr>
      <w:r>
        <w:rPr>
          <w:rFonts w:hint="eastAsia" w:eastAsia="仿宋_GB2312" w:cs="仿宋_GB2312"/>
          <w:sz w:val="32"/>
          <w:szCs w:val="32"/>
        </w:rPr>
        <w:t>2025年度收入、支出总计均为472.59万元。与上年度相比，收入、支出总计各减少123.94万元，下降20.78%。主要变动原因是2025年项目收入、支出减少。</w:t>
      </w:r>
    </w:p>
    <w:p w14:paraId="3A3272DE">
      <w:pPr>
        <w:ind w:firstLine="640" w:firstLineChars="200"/>
        <w:rPr>
          <w:rFonts w:eastAsia="仿宋_GB2312" w:cs="仿宋_GB2312"/>
          <w:sz w:val="32"/>
          <w:szCs w:val="32"/>
        </w:rPr>
      </w:pPr>
      <w:r>
        <w:rPr>
          <w:rFonts w:hint="eastAsia" w:eastAsia="仿宋_GB2312" w:cs="仿宋_GB2312"/>
          <w:sz w:val="32"/>
          <w:szCs w:val="32"/>
        </w:rPr>
        <w:drawing>
          <wp:inline distT="0" distB="0" distL="114300" distR="114300">
            <wp:extent cx="4458970" cy="2676525"/>
            <wp:effectExtent l="4445" t="5080" r="17145" b="15875"/>
            <wp:docPr id="5" name="图表 5" descr="7b0a202020202263686172745265734964223a202234363130333534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C4FFB84">
      <w:pPr>
        <w:pStyle w:val="27"/>
        <w:spacing w:line="600" w:lineRule="exact"/>
        <w:ind w:firstLine="640"/>
        <w:outlineLvl w:val="1"/>
        <w:rPr>
          <w:rFonts w:eastAsia="黑体"/>
          <w:sz w:val="32"/>
          <w:szCs w:val="32"/>
        </w:rPr>
      </w:pPr>
      <w:bookmarkStart w:id="20" w:name="_Toc15396604"/>
      <w:bookmarkStart w:id="21" w:name="_Toc15377206"/>
      <w:r>
        <w:rPr>
          <w:rFonts w:hint="eastAsia" w:eastAsia="黑体"/>
          <w:sz w:val="32"/>
          <w:szCs w:val="32"/>
        </w:rPr>
        <w:t>二、收入决算情况说明</w:t>
      </w:r>
      <w:bookmarkEnd w:id="20"/>
      <w:bookmarkEnd w:id="21"/>
    </w:p>
    <w:p w14:paraId="22FC99CD">
      <w:pPr>
        <w:pStyle w:val="27"/>
        <w:spacing w:line="600" w:lineRule="exact"/>
        <w:ind w:firstLine="640"/>
        <w:outlineLvl w:val="1"/>
        <w:rPr>
          <w:rFonts w:eastAsia="仿宋_GB2312" w:cs="仿宋_GB2312"/>
          <w:b/>
          <w:bCs/>
          <w:sz w:val="32"/>
          <w:szCs w:val="32"/>
        </w:rPr>
      </w:pPr>
      <w:r>
        <w:rPr>
          <w:rFonts w:hint="eastAsia" w:eastAsia="仿宋_GB2312" w:cs="仿宋_GB2312"/>
          <w:sz w:val="32"/>
          <w:szCs w:val="32"/>
        </w:rPr>
        <w:t>2025年度本年收入合计472.59万元，其中：一般公共预算财政拨款收入472.59万元，占100%。</w:t>
      </w:r>
    </w:p>
    <w:p w14:paraId="24D2C481">
      <w:pPr>
        <w:ind w:firstLine="800" w:firstLineChars="250"/>
        <w:rPr>
          <w:rFonts w:eastAsia="仿宋_GB2312" w:cs="仿宋_GB2312"/>
          <w:sz w:val="32"/>
          <w:szCs w:val="32"/>
        </w:rPr>
      </w:pPr>
      <w:r>
        <w:rPr>
          <w:rFonts w:hint="eastAsia" w:eastAsia="仿宋_GB2312" w:cs="仿宋_GB2312"/>
          <w:sz w:val="32"/>
          <w:szCs w:val="32"/>
        </w:rPr>
        <w:drawing>
          <wp:inline distT="0" distB="0" distL="114300" distR="114300">
            <wp:extent cx="4421505" cy="2227580"/>
            <wp:effectExtent l="4445" t="4445" r="8890" b="8255"/>
            <wp:docPr id="3" name="图表 3" descr="7b0a202020202263686172745265734964223a202232303437353935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43782E2">
      <w:pPr>
        <w:pStyle w:val="27"/>
        <w:spacing w:line="600" w:lineRule="exact"/>
        <w:ind w:firstLine="640"/>
        <w:outlineLvl w:val="1"/>
        <w:rPr>
          <w:rStyle w:val="29"/>
          <w:rFonts w:ascii="Times New Roman" w:hAnsi="Times New Roman" w:eastAsia="黑体"/>
          <w:b w:val="0"/>
        </w:rPr>
      </w:pPr>
      <w:bookmarkStart w:id="22" w:name="_Toc15396605"/>
      <w:bookmarkStart w:id="23" w:name="_Toc15377207"/>
      <w:r>
        <w:rPr>
          <w:rFonts w:hint="eastAsia" w:eastAsia="黑体"/>
          <w:sz w:val="32"/>
          <w:szCs w:val="32"/>
        </w:rPr>
        <w:t>三、支</w:t>
      </w:r>
      <w:r>
        <w:rPr>
          <w:rStyle w:val="29"/>
          <w:rFonts w:hint="eastAsia" w:ascii="Times New Roman" w:hAnsi="Times New Roman" w:eastAsia="黑体"/>
          <w:b w:val="0"/>
        </w:rPr>
        <w:t>出决算情况说明</w:t>
      </w:r>
      <w:bookmarkEnd w:id="22"/>
      <w:bookmarkEnd w:id="23"/>
    </w:p>
    <w:p w14:paraId="51A8B8EB">
      <w:pPr>
        <w:pStyle w:val="27"/>
        <w:spacing w:line="600" w:lineRule="exact"/>
        <w:ind w:firstLine="640"/>
        <w:outlineLvl w:val="1"/>
        <w:rPr>
          <w:rFonts w:eastAsia="仿宋_GB2312" w:cs="仿宋_GB2312"/>
          <w:b/>
          <w:bCs/>
          <w:sz w:val="32"/>
          <w:szCs w:val="32"/>
        </w:rPr>
      </w:pPr>
      <w:r>
        <w:rPr>
          <w:rFonts w:hint="eastAsia" w:eastAsia="仿宋_GB2312" w:cs="仿宋_GB2312"/>
          <w:sz w:val="32"/>
          <w:szCs w:val="32"/>
        </w:rPr>
        <w:t>2025年度本年支出合计472.59万元，其中：基本支出184.8万元，占39.1%；项目支出287.79万元，占60.9%。</w:t>
      </w:r>
    </w:p>
    <w:p w14:paraId="51B3D6B3">
      <w:pPr>
        <w:ind w:firstLine="800" w:firstLineChars="250"/>
        <w:rPr>
          <w:rFonts w:eastAsia="仿宋_GB2312" w:cs="仿宋_GB2312"/>
          <w:sz w:val="32"/>
          <w:szCs w:val="32"/>
        </w:rPr>
      </w:pPr>
      <w:r>
        <w:rPr>
          <w:rFonts w:hint="eastAsia" w:eastAsia="仿宋_GB2312" w:cs="仿宋_GB2312"/>
          <w:sz w:val="32"/>
          <w:szCs w:val="32"/>
        </w:rPr>
        <w:drawing>
          <wp:inline distT="0" distB="0" distL="114300" distR="114300">
            <wp:extent cx="4798060" cy="2842260"/>
            <wp:effectExtent l="4445" t="5080" r="13335" b="48260"/>
            <wp:docPr id="4" name="图表 4" descr="7b0a202020202263686172745265734964223a20223230333037383531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C420262">
      <w:pPr>
        <w:spacing w:line="600" w:lineRule="exact"/>
        <w:ind w:firstLine="640" w:firstLineChars="200"/>
        <w:outlineLvl w:val="1"/>
        <w:rPr>
          <w:rStyle w:val="29"/>
          <w:rFonts w:ascii="Times New Roman" w:hAnsi="Times New Roman" w:eastAsia="黑体"/>
          <w:b w:val="0"/>
        </w:rPr>
      </w:pPr>
      <w:bookmarkStart w:id="24" w:name="_Toc15396606"/>
      <w:bookmarkStart w:id="25" w:name="_Toc15377208"/>
      <w:r>
        <w:rPr>
          <w:rFonts w:hint="eastAsia" w:eastAsia="黑体"/>
          <w:sz w:val="32"/>
          <w:szCs w:val="32"/>
        </w:rPr>
        <w:t>四、财</w:t>
      </w:r>
      <w:r>
        <w:rPr>
          <w:rStyle w:val="29"/>
          <w:rFonts w:hint="eastAsia" w:ascii="Times New Roman" w:hAnsi="Times New Roman" w:eastAsia="黑体"/>
          <w:b w:val="0"/>
        </w:rPr>
        <w:t>政拨款收入支出决算总体情况说明</w:t>
      </w:r>
      <w:bookmarkEnd w:id="24"/>
      <w:bookmarkEnd w:id="25"/>
    </w:p>
    <w:p w14:paraId="5A1DA41A">
      <w:pPr>
        <w:spacing w:line="600" w:lineRule="exact"/>
        <w:ind w:firstLine="640"/>
        <w:rPr>
          <w:rFonts w:eastAsia="仿宋_GB2312" w:cs="仿宋_GB2312"/>
          <w:sz w:val="32"/>
          <w:szCs w:val="32"/>
        </w:rPr>
      </w:pPr>
      <w:r>
        <w:rPr>
          <w:rFonts w:hint="eastAsia" w:eastAsia="仿宋_GB2312" w:cs="仿宋_GB2312"/>
          <w:sz w:val="32"/>
          <w:szCs w:val="32"/>
        </w:rPr>
        <w:drawing>
          <wp:anchor distT="0" distB="0" distL="114300" distR="114300" simplePos="0" relativeHeight="251659264" behindDoc="0" locked="0" layoutInCell="1" allowOverlap="1">
            <wp:simplePos x="0" y="0"/>
            <wp:positionH relativeFrom="column">
              <wp:posOffset>374650</wp:posOffset>
            </wp:positionH>
            <wp:positionV relativeFrom="paragraph">
              <wp:posOffset>1315720</wp:posOffset>
            </wp:positionV>
            <wp:extent cx="4853940" cy="2767965"/>
            <wp:effectExtent l="4445" t="4445" r="18415" b="46990"/>
            <wp:wrapTopAndBottom/>
            <wp:docPr id="7" name="图表 7" descr="7b0a202020202263686172745265734964223a202232303238343035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hint="eastAsia" w:eastAsia="仿宋_GB2312" w:cs="仿宋_GB2312"/>
          <w:sz w:val="32"/>
          <w:szCs w:val="32"/>
        </w:rPr>
        <w:t>2025年度财政拨款收入、支出总计均为472.59万元。与上年度相比，财政拨款收入、支出总计各减少98.6万元，下降17.26%。主要变动原因是2025年项目收入、支出减少。</w:t>
      </w:r>
    </w:p>
    <w:p w14:paraId="0B05420B">
      <w:pPr>
        <w:spacing w:line="600" w:lineRule="exact"/>
        <w:ind w:firstLine="640" w:firstLineChars="200"/>
        <w:outlineLvl w:val="1"/>
        <w:rPr>
          <w:rStyle w:val="29"/>
          <w:rFonts w:ascii="Times New Roman" w:hAnsi="Times New Roman" w:eastAsia="黑体"/>
          <w:b w:val="0"/>
        </w:rPr>
      </w:pPr>
      <w:bookmarkStart w:id="26" w:name="_Toc15396607"/>
      <w:bookmarkStart w:id="27" w:name="_Toc15377209"/>
      <w:r>
        <w:rPr>
          <w:rFonts w:hint="eastAsia" w:eastAsia="黑体"/>
          <w:sz w:val="32"/>
          <w:szCs w:val="32"/>
        </w:rPr>
        <w:t>五、</w:t>
      </w:r>
      <w:r>
        <w:rPr>
          <w:rFonts w:hint="eastAsia" w:eastAsia="黑体"/>
          <w:b/>
          <w:sz w:val="32"/>
          <w:szCs w:val="32"/>
        </w:rPr>
        <w:t>一</w:t>
      </w:r>
      <w:r>
        <w:rPr>
          <w:rStyle w:val="29"/>
          <w:rFonts w:hint="eastAsia" w:ascii="Times New Roman" w:hAnsi="Times New Roman" w:eastAsia="黑体"/>
          <w:b w:val="0"/>
        </w:rPr>
        <w:t>般公共预算财政拨款支出决算情况说明</w:t>
      </w:r>
      <w:bookmarkEnd w:id="26"/>
      <w:bookmarkEnd w:id="27"/>
    </w:p>
    <w:p w14:paraId="197C2837">
      <w:pPr>
        <w:spacing w:line="600" w:lineRule="exact"/>
        <w:ind w:firstLine="643" w:firstLineChars="200"/>
        <w:outlineLvl w:val="2"/>
        <w:rPr>
          <w:rFonts w:eastAsia="楷体_GB2312" w:cs="楷体_GB2312"/>
          <w:b/>
          <w:sz w:val="32"/>
          <w:szCs w:val="32"/>
        </w:rPr>
      </w:pPr>
      <w:bookmarkStart w:id="28" w:name="_Toc15377210"/>
      <w:r>
        <w:rPr>
          <w:rFonts w:hint="eastAsia" w:eastAsia="楷体_GB2312" w:cs="楷体_GB2312"/>
          <w:b/>
          <w:sz w:val="32"/>
          <w:szCs w:val="32"/>
        </w:rPr>
        <w:t>（一）一般公共预算财政拨款支出决算总体情况</w:t>
      </w:r>
      <w:bookmarkEnd w:id="28"/>
    </w:p>
    <w:p w14:paraId="3CB443CB">
      <w:pPr>
        <w:spacing w:line="600" w:lineRule="exact"/>
        <w:ind w:firstLine="640"/>
        <w:rPr>
          <w:rFonts w:eastAsia="仿宋_GB2312" w:cs="仿宋_GB2312"/>
          <w:sz w:val="32"/>
          <w:szCs w:val="32"/>
        </w:rPr>
      </w:pPr>
      <w:r>
        <w:rPr>
          <w:rFonts w:hint="eastAsia" w:eastAsia="仿宋_GB2312" w:cs="仿宋_GB2312"/>
          <w:sz w:val="32"/>
          <w:szCs w:val="32"/>
        </w:rPr>
        <w:t>2025年度一般公共预算财政拨款支出472.59万元，占本年支出合计的100%。与上年度相比，一般公共预算财政拨款支出减少98.6万元，下降17.26%。主要变动原因是2025年项目支出减少。</w:t>
      </w:r>
    </w:p>
    <w:p w14:paraId="29B05484">
      <w:pPr>
        <w:spacing w:line="600" w:lineRule="exact"/>
        <w:ind w:firstLine="640" w:firstLineChars="200"/>
        <w:outlineLvl w:val="2"/>
        <w:rPr>
          <w:rFonts w:eastAsia="楷体_GB2312" w:cs="楷体_GB2312"/>
          <w:b/>
          <w:sz w:val="32"/>
          <w:szCs w:val="32"/>
        </w:rPr>
      </w:pPr>
      <w:bookmarkStart w:id="29" w:name="_Toc15377211"/>
      <w:r>
        <w:rPr>
          <w:rFonts w:hint="eastAsia" w:eastAsia="仿宋_GB2312" w:cs="仿宋_GB2312"/>
          <w:sz w:val="32"/>
          <w:szCs w:val="32"/>
        </w:rPr>
        <w:drawing>
          <wp:anchor distT="0" distB="0" distL="114300" distR="114300" simplePos="0" relativeHeight="251660288" behindDoc="0" locked="0" layoutInCell="1" allowOverlap="1">
            <wp:simplePos x="0" y="0"/>
            <wp:positionH relativeFrom="column">
              <wp:posOffset>307975</wp:posOffset>
            </wp:positionH>
            <wp:positionV relativeFrom="paragraph">
              <wp:posOffset>54610</wp:posOffset>
            </wp:positionV>
            <wp:extent cx="4925695" cy="2887345"/>
            <wp:effectExtent l="4445" t="4445" r="7620" b="19050"/>
            <wp:wrapTopAndBottom/>
            <wp:docPr id="10" name="图表 10" descr="7b0a202020202263686172745265734964223a2022343535363338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hint="eastAsia" w:eastAsia="楷体_GB2312" w:cs="楷体_GB2312"/>
          <w:b/>
          <w:sz w:val="32"/>
          <w:szCs w:val="32"/>
        </w:rPr>
        <w:t>（二）一般公共预算财政拨款支出决算结构情况</w:t>
      </w:r>
      <w:bookmarkEnd w:id="29"/>
    </w:p>
    <w:p w14:paraId="7F4B6060">
      <w:pPr>
        <w:spacing w:line="600" w:lineRule="exact"/>
        <w:ind w:firstLine="640" w:firstLineChars="200"/>
        <w:rPr>
          <w:rFonts w:eastAsia="仿宋_GB2312" w:cs="仿宋_GB2312"/>
          <w:sz w:val="32"/>
          <w:szCs w:val="32"/>
        </w:rPr>
      </w:pPr>
      <w:r>
        <w:rPr>
          <w:rFonts w:hint="eastAsia" w:eastAsia="仿宋_GB2312" w:cs="仿宋_GB2312"/>
          <w:sz w:val="32"/>
          <w:szCs w:val="32"/>
        </w:rPr>
        <w:t>2025年度一般公共预算财政拨款支出472.59万元，主要用于以下方面：社会保障和就业支出29.49万元，占6.24%；卫生健康支出8.97万元，占1.9%；农林水支出173.23万元，占36.65%；住房保障支出12.38万元，占2.62%；其他支出248.52万元，占52.59%。</w:t>
      </w:r>
    </w:p>
    <w:p w14:paraId="5B7BF923">
      <w:pPr>
        <w:spacing w:line="600" w:lineRule="exact"/>
        <w:ind w:firstLine="640" w:firstLineChars="200"/>
        <w:outlineLvl w:val="2"/>
        <w:rPr>
          <w:rFonts w:eastAsia="楷体_GB2312" w:cs="楷体_GB2312"/>
          <w:b/>
          <w:sz w:val="32"/>
          <w:szCs w:val="32"/>
        </w:rPr>
      </w:pPr>
      <w:bookmarkStart w:id="30" w:name="_Toc15377212"/>
      <w:r>
        <w:rPr>
          <w:rFonts w:hint="eastAsia" w:eastAsia="仿宋_GB2312" w:cs="仿宋_GB2312"/>
          <w:sz w:val="32"/>
          <w:szCs w:val="32"/>
        </w:rPr>
        <w:drawing>
          <wp:anchor distT="0" distB="0" distL="114300" distR="114300" simplePos="0" relativeHeight="251661312" behindDoc="0" locked="0" layoutInCell="1" allowOverlap="1">
            <wp:simplePos x="0" y="0"/>
            <wp:positionH relativeFrom="column">
              <wp:posOffset>43180</wp:posOffset>
            </wp:positionH>
            <wp:positionV relativeFrom="paragraph">
              <wp:posOffset>172085</wp:posOffset>
            </wp:positionV>
            <wp:extent cx="5165725" cy="2924175"/>
            <wp:effectExtent l="0" t="0" r="15875" b="9525"/>
            <wp:wrapTopAndBottom/>
            <wp:docPr id="11" name="图表 11" descr="7b0a202020202263686172745265734964223a20223230333037383531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Pr>
          <w:rFonts w:hint="eastAsia" w:eastAsia="楷体_GB2312" w:cs="楷体_GB2312"/>
          <w:b/>
          <w:sz w:val="32"/>
          <w:szCs w:val="32"/>
        </w:rPr>
        <w:t>（三）一般公共预算财政拨款支出决算具体情况</w:t>
      </w:r>
      <w:bookmarkEnd w:id="30"/>
    </w:p>
    <w:p w14:paraId="223EC962">
      <w:pPr>
        <w:spacing w:line="600" w:lineRule="exact"/>
        <w:ind w:firstLine="640"/>
        <w:rPr>
          <w:rFonts w:eastAsia="仿宋_GB2312" w:cs="仿宋_GB2312"/>
          <w:sz w:val="32"/>
          <w:szCs w:val="32"/>
        </w:rPr>
      </w:pPr>
      <w:bookmarkStart w:id="31" w:name="_Toc15378460"/>
      <w:bookmarkStart w:id="32" w:name="_Toc15377213"/>
      <w:bookmarkStart w:id="33" w:name="_Toc15377444"/>
      <w:r>
        <w:rPr>
          <w:rFonts w:hint="eastAsia" w:eastAsia="仿宋_GB2312" w:cs="仿宋_GB2312"/>
          <w:sz w:val="32"/>
          <w:szCs w:val="32"/>
        </w:rPr>
        <w:t>2025年度一般公共预算支出决算数为472.59万元，完成预算100%。其中：</w:t>
      </w:r>
      <w:bookmarkEnd w:id="31"/>
      <w:bookmarkEnd w:id="32"/>
      <w:bookmarkEnd w:id="33"/>
    </w:p>
    <w:p w14:paraId="13089637">
      <w:pPr>
        <w:spacing w:line="640" w:lineRule="exact"/>
        <w:ind w:firstLine="640"/>
        <w:rPr>
          <w:rFonts w:eastAsia="仿宋_GB2312" w:cs="仿宋_GB2312"/>
          <w:sz w:val="32"/>
          <w:szCs w:val="32"/>
        </w:rPr>
      </w:pPr>
      <w:r>
        <w:rPr>
          <w:rFonts w:hint="eastAsia" w:eastAsia="仿宋_GB2312" w:cs="仿宋_GB2312"/>
          <w:sz w:val="32"/>
          <w:szCs w:val="32"/>
        </w:rPr>
        <w:t>1.社会保障和就业支出（类）行政事业单位养老支出（款）行政单位离退休（项）：支出决算为13.99万元，完成预算100%。</w:t>
      </w:r>
    </w:p>
    <w:p w14:paraId="71D91F7E">
      <w:pPr>
        <w:spacing w:line="640" w:lineRule="exact"/>
        <w:ind w:firstLine="640"/>
        <w:rPr>
          <w:rFonts w:eastAsia="仿宋_GB2312" w:cs="仿宋_GB2312"/>
          <w:sz w:val="32"/>
          <w:szCs w:val="32"/>
        </w:rPr>
      </w:pPr>
      <w:r>
        <w:rPr>
          <w:rFonts w:hint="eastAsia" w:eastAsia="仿宋_GB2312" w:cs="仿宋_GB2312"/>
          <w:sz w:val="32"/>
          <w:szCs w:val="32"/>
        </w:rPr>
        <w:t>2.社会保障和就业支出（类）行政事业单位养老支出（款）机关事业单位基本养老保险缴费支出（项）：支出决算为15.5万元，完成预算100%。</w:t>
      </w:r>
    </w:p>
    <w:p w14:paraId="56D3F3C8">
      <w:pPr>
        <w:spacing w:line="640" w:lineRule="exact"/>
        <w:ind w:firstLine="640"/>
        <w:rPr>
          <w:rFonts w:eastAsia="仿宋_GB2312" w:cs="仿宋_GB2312"/>
          <w:sz w:val="32"/>
          <w:szCs w:val="32"/>
        </w:rPr>
      </w:pPr>
      <w:r>
        <w:rPr>
          <w:rFonts w:hint="eastAsia" w:eastAsia="仿宋_GB2312" w:cs="仿宋_GB2312"/>
          <w:sz w:val="32"/>
          <w:szCs w:val="32"/>
        </w:rPr>
        <w:t>3.卫生健康支出（类）行政事业单位医疗（款）行政单位医疗（项）：支出决算为8.13万元，完成预算100%。</w:t>
      </w:r>
    </w:p>
    <w:p w14:paraId="71725C5E">
      <w:pPr>
        <w:spacing w:line="640" w:lineRule="exact"/>
        <w:ind w:firstLine="640"/>
        <w:rPr>
          <w:rFonts w:eastAsia="仿宋_GB2312" w:cs="仿宋_GB2312"/>
          <w:sz w:val="32"/>
          <w:szCs w:val="32"/>
        </w:rPr>
      </w:pPr>
      <w:r>
        <w:rPr>
          <w:rFonts w:hint="eastAsia" w:eastAsia="仿宋_GB2312" w:cs="仿宋_GB2312"/>
          <w:sz w:val="32"/>
          <w:szCs w:val="32"/>
        </w:rPr>
        <w:t>4.卫生健康支出（类）行政事业单位医疗（款）公务员医疗补助（项）：支出决算为0.84万元，完成预算100%。</w:t>
      </w:r>
    </w:p>
    <w:p w14:paraId="7C1E98E2">
      <w:pPr>
        <w:spacing w:line="640" w:lineRule="exact"/>
        <w:ind w:firstLine="640"/>
        <w:rPr>
          <w:rFonts w:eastAsia="仿宋_GB2312" w:cs="仿宋_GB2312"/>
          <w:sz w:val="32"/>
          <w:szCs w:val="32"/>
        </w:rPr>
      </w:pPr>
      <w:r>
        <w:rPr>
          <w:rFonts w:hint="eastAsia" w:eastAsia="仿宋_GB2312" w:cs="仿宋_GB2312"/>
          <w:sz w:val="32"/>
          <w:szCs w:val="32"/>
        </w:rPr>
        <w:t>5.农林水支出（类）林业和草原（款）行政运行（项）：支出决算为133.96万元，完成预算100%。</w:t>
      </w:r>
    </w:p>
    <w:p w14:paraId="7E61A245">
      <w:pPr>
        <w:spacing w:line="640" w:lineRule="exact"/>
        <w:ind w:firstLine="640"/>
        <w:rPr>
          <w:rFonts w:eastAsia="仿宋_GB2312" w:cs="仿宋_GB2312"/>
          <w:sz w:val="32"/>
          <w:szCs w:val="32"/>
        </w:rPr>
      </w:pPr>
      <w:r>
        <w:rPr>
          <w:rFonts w:hint="eastAsia" w:eastAsia="仿宋_GB2312" w:cs="仿宋_GB2312"/>
          <w:sz w:val="32"/>
          <w:szCs w:val="32"/>
        </w:rPr>
        <w:t>6.农林水支出（类）林业和草原（款）其他林业和草原支出（项）：支出决算为39.27万元，完成预算100%。</w:t>
      </w:r>
    </w:p>
    <w:p w14:paraId="67A77B24">
      <w:pPr>
        <w:spacing w:line="640" w:lineRule="exact"/>
        <w:ind w:firstLine="640"/>
        <w:rPr>
          <w:rFonts w:eastAsia="仿宋_GB2312" w:cs="仿宋_GB2312"/>
          <w:sz w:val="32"/>
          <w:szCs w:val="32"/>
        </w:rPr>
      </w:pPr>
      <w:r>
        <w:rPr>
          <w:rFonts w:hint="eastAsia" w:eastAsia="仿宋_GB2312" w:cs="仿宋_GB2312"/>
          <w:sz w:val="32"/>
          <w:szCs w:val="32"/>
        </w:rPr>
        <w:t>7.住房保障支出（类）住房改革支出（款）住房公积金（项）：支出决算为12.38万元，完成预算100%。</w:t>
      </w:r>
    </w:p>
    <w:p w14:paraId="2D8BFBFB">
      <w:pPr>
        <w:spacing w:line="600" w:lineRule="exact"/>
        <w:ind w:firstLine="640"/>
        <w:rPr>
          <w:rFonts w:eastAsia="仿宋_GB2312" w:cs="仿宋_GB2312"/>
          <w:sz w:val="32"/>
          <w:szCs w:val="32"/>
        </w:rPr>
      </w:pPr>
      <w:r>
        <w:rPr>
          <w:rFonts w:hint="eastAsia" w:eastAsia="仿宋_GB2312" w:cs="仿宋_GB2312"/>
          <w:sz w:val="32"/>
          <w:szCs w:val="32"/>
        </w:rPr>
        <w:t>8.其他支出（类）其他支出（款）其他支出（项）：支出决算为248.52万元，完成预算100%。</w:t>
      </w:r>
    </w:p>
    <w:p w14:paraId="2D9ABF83">
      <w:pPr>
        <w:tabs>
          <w:tab w:val="right" w:pos="8306"/>
        </w:tabs>
        <w:spacing w:line="600" w:lineRule="exact"/>
        <w:ind w:firstLine="640"/>
        <w:outlineLvl w:val="1"/>
        <w:rPr>
          <w:rStyle w:val="29"/>
          <w:rFonts w:ascii="Times New Roman" w:hAnsi="Times New Roman"/>
        </w:rPr>
      </w:pPr>
      <w:bookmarkStart w:id="34" w:name="_Toc15377214"/>
      <w:bookmarkStart w:id="35" w:name="_Toc15396608"/>
      <w:r>
        <w:rPr>
          <w:rFonts w:hint="eastAsia" w:eastAsia="黑体"/>
          <w:sz w:val="32"/>
          <w:szCs w:val="32"/>
        </w:rPr>
        <w:t>六</w:t>
      </w:r>
      <w:r>
        <w:rPr>
          <w:rFonts w:hint="eastAsia" w:eastAsia="黑体"/>
          <w:b/>
          <w:sz w:val="32"/>
          <w:szCs w:val="32"/>
        </w:rPr>
        <w:t>、一</w:t>
      </w:r>
      <w:r>
        <w:rPr>
          <w:rStyle w:val="29"/>
          <w:rFonts w:hint="eastAsia" w:ascii="Times New Roman" w:hAnsi="Times New Roman" w:eastAsia="黑体"/>
          <w:b w:val="0"/>
        </w:rPr>
        <w:t>般公共预算财政拨款基本支出决算情况说明</w:t>
      </w:r>
      <w:bookmarkEnd w:id="34"/>
      <w:bookmarkEnd w:id="35"/>
      <w:r>
        <w:rPr>
          <w:rStyle w:val="29"/>
          <w:rFonts w:ascii="Times New Roman" w:hAnsi="Times New Roman" w:eastAsia="黑体"/>
          <w:b w:val="0"/>
        </w:rPr>
        <w:tab/>
      </w:r>
    </w:p>
    <w:p w14:paraId="7810FAC2">
      <w:pPr>
        <w:spacing w:line="600" w:lineRule="exact"/>
        <w:ind w:firstLine="640"/>
        <w:rPr>
          <w:rFonts w:eastAsia="仿宋_GB2312" w:cs="仿宋_GB2312"/>
          <w:sz w:val="32"/>
          <w:szCs w:val="32"/>
        </w:rPr>
      </w:pPr>
      <w:r>
        <w:rPr>
          <w:rFonts w:hint="eastAsia" w:eastAsia="仿宋_GB2312" w:cs="仿宋_GB2312"/>
          <w:sz w:val="32"/>
          <w:szCs w:val="32"/>
        </w:rPr>
        <w:t>2025年度一般公共预算财政拨款基本支出184.8万元，其中：</w:t>
      </w:r>
    </w:p>
    <w:p w14:paraId="3DCF278F">
      <w:pPr>
        <w:spacing w:line="600" w:lineRule="exact"/>
        <w:ind w:firstLine="640"/>
        <w:rPr>
          <w:rFonts w:eastAsia="仿宋_GB2312" w:cs="仿宋_GB2312"/>
          <w:sz w:val="32"/>
          <w:szCs w:val="32"/>
        </w:rPr>
      </w:pPr>
      <w:r>
        <w:rPr>
          <w:rFonts w:hint="eastAsia" w:eastAsia="仿宋_GB2312" w:cs="仿宋_GB2312"/>
          <w:sz w:val="32"/>
          <w:szCs w:val="32"/>
        </w:rPr>
        <w:t>人员经费165.46万元，主要包括：基本工资、津贴补贴、奖金、机关事业单位基本养老保险缴费、职业年金缴费、其他社会保障缴费、生活补助、医疗费补助、奖励金、住房公积金等等。</w:t>
      </w:r>
      <w:r>
        <w:rPr>
          <w:rFonts w:hint="eastAsia" w:eastAsia="仿宋_GB2312" w:cs="仿宋_GB2312"/>
          <w:sz w:val="32"/>
          <w:szCs w:val="32"/>
        </w:rPr>
        <w:br w:type="textWrapping"/>
      </w:r>
      <w:r>
        <w:rPr>
          <w:rFonts w:hint="eastAsia" w:eastAsia="仿宋_GB2312" w:cs="仿宋_GB2312"/>
          <w:sz w:val="32"/>
          <w:szCs w:val="32"/>
        </w:rPr>
        <w:t>　　公用经费19.34万元，主要包括：办公费、水费、电费、邮电费、差旅费、公务接待费、劳务费、委托业务费、工会经费、福利费、公务用车运行维护费、其他交通费、其他商品和服务支出等。</w:t>
      </w:r>
    </w:p>
    <w:p w14:paraId="1D350C09">
      <w:pPr>
        <w:spacing w:line="600" w:lineRule="exact"/>
        <w:ind w:firstLine="640"/>
        <w:outlineLvl w:val="1"/>
        <w:rPr>
          <w:rStyle w:val="29"/>
          <w:rFonts w:ascii="Times New Roman" w:hAnsi="Times New Roman" w:eastAsia="黑体"/>
          <w:b w:val="0"/>
        </w:rPr>
      </w:pPr>
      <w:bookmarkStart w:id="36" w:name="_Toc15377215"/>
      <w:bookmarkStart w:id="37" w:name="_Toc15396609"/>
      <w:r>
        <w:rPr>
          <w:rFonts w:hint="eastAsia" w:eastAsia="黑体"/>
          <w:sz w:val="32"/>
          <w:szCs w:val="32"/>
        </w:rPr>
        <w:t>七、</w:t>
      </w:r>
      <w:r>
        <w:rPr>
          <w:rStyle w:val="29"/>
          <w:rFonts w:hint="eastAsia" w:ascii="Times New Roman" w:hAnsi="Times New Roman" w:eastAsia="黑体"/>
          <w:b w:val="0"/>
        </w:rPr>
        <w:t>财政拨款</w:t>
      </w:r>
      <w:r>
        <w:rPr>
          <w:rStyle w:val="29"/>
          <w:rFonts w:hint="eastAsia" w:ascii="Times New Roman" w:hAnsi="Times New Roman" w:eastAsia="黑体"/>
        </w:rPr>
        <w:t>“</w:t>
      </w:r>
      <w:r>
        <w:rPr>
          <w:rStyle w:val="29"/>
          <w:rFonts w:hint="eastAsia" w:ascii="Times New Roman" w:hAnsi="Times New Roman" w:eastAsia="黑体"/>
          <w:b w:val="0"/>
        </w:rPr>
        <w:t>三公”经费支出决算情况说明</w:t>
      </w:r>
      <w:bookmarkEnd w:id="36"/>
      <w:bookmarkEnd w:id="37"/>
    </w:p>
    <w:p w14:paraId="1814FED8">
      <w:pPr>
        <w:spacing w:line="600" w:lineRule="exact"/>
        <w:ind w:firstLine="643" w:firstLineChars="200"/>
        <w:outlineLvl w:val="2"/>
        <w:rPr>
          <w:rFonts w:eastAsia="楷体_GB2312" w:cs="楷体_GB2312"/>
          <w:b/>
          <w:sz w:val="32"/>
          <w:szCs w:val="32"/>
        </w:rPr>
      </w:pPr>
      <w:bookmarkStart w:id="38" w:name="_Toc15377216"/>
      <w:r>
        <w:rPr>
          <w:rFonts w:hint="eastAsia" w:eastAsia="楷体_GB2312" w:cs="楷体_GB2312"/>
          <w:b/>
          <w:sz w:val="32"/>
          <w:szCs w:val="32"/>
        </w:rPr>
        <w:t>（一）财政拨款“三公”经费支出决算总体情况说明</w:t>
      </w:r>
      <w:bookmarkEnd w:id="38"/>
    </w:p>
    <w:p w14:paraId="75A46532">
      <w:pPr>
        <w:spacing w:line="600" w:lineRule="exact"/>
        <w:ind w:firstLine="640"/>
        <w:rPr>
          <w:rFonts w:eastAsia="仿宋_GB2312" w:cs="仿宋_GB2312"/>
          <w:b/>
          <w:bCs/>
          <w:sz w:val="32"/>
          <w:szCs w:val="32"/>
        </w:rPr>
      </w:pPr>
      <w:r>
        <w:rPr>
          <w:rFonts w:hint="eastAsia" w:eastAsia="仿宋_GB2312" w:cs="仿宋_GB2312"/>
          <w:sz w:val="32"/>
          <w:szCs w:val="32"/>
        </w:rPr>
        <w:t>2025年度财政拨款“三公”经费支出决算为1.36万元，完成预算100%，较上年度增加0.07万元，增长5.43%。</w:t>
      </w:r>
    </w:p>
    <w:p w14:paraId="2F7FB9D1">
      <w:pPr>
        <w:spacing w:line="600" w:lineRule="exact"/>
        <w:ind w:firstLine="643" w:firstLineChars="200"/>
        <w:outlineLvl w:val="2"/>
        <w:rPr>
          <w:rFonts w:eastAsia="楷体_GB2312" w:cs="楷体_GB2312"/>
          <w:b/>
          <w:sz w:val="32"/>
          <w:szCs w:val="32"/>
        </w:rPr>
      </w:pPr>
      <w:bookmarkStart w:id="39" w:name="_Toc15377217"/>
      <w:r>
        <w:rPr>
          <w:rFonts w:hint="eastAsia" w:eastAsia="楷体_GB2312" w:cs="楷体_GB2312"/>
          <w:b/>
          <w:sz w:val="32"/>
          <w:szCs w:val="32"/>
        </w:rPr>
        <w:t>（二）财政拨款“三公”经费支出决算具体情况说明</w:t>
      </w:r>
      <w:bookmarkEnd w:id="39"/>
    </w:p>
    <w:p w14:paraId="1500E1CF">
      <w:pPr>
        <w:spacing w:line="600" w:lineRule="exact"/>
        <w:ind w:firstLine="640"/>
        <w:rPr>
          <w:rFonts w:eastAsia="仿宋_GB2312" w:cs="仿宋_GB2312"/>
          <w:sz w:val="32"/>
          <w:szCs w:val="32"/>
        </w:rPr>
      </w:pPr>
      <w:r>
        <w:rPr>
          <w:rFonts w:hint="eastAsia" w:eastAsia="仿宋_GB2312" w:cs="仿宋_GB2312"/>
          <w:sz w:val="32"/>
          <w:szCs w:val="32"/>
        </w:rPr>
        <w:t>2025年度财政拨款“三公”经费支出决算中，因公出国（境）费支出决算0万元，占0%；公务用车购置及运行维护费支出决算1.13万元，占83.09%；公务接待费支出决算0.23万元，占16.91%。具体情况如下：</w:t>
      </w:r>
    </w:p>
    <w:p w14:paraId="6B3B9C45">
      <w:pPr>
        <w:pStyle w:val="2"/>
      </w:pPr>
      <w:r>
        <w:rPr>
          <w:rFonts w:hint="eastAsia"/>
        </w:rPr>
        <w:drawing>
          <wp:inline distT="0" distB="0" distL="114300" distR="114300">
            <wp:extent cx="5119370" cy="2805430"/>
            <wp:effectExtent l="4445" t="4445" r="12065" b="9525"/>
            <wp:docPr id="1" name="图表 1" descr="7b0a202020202263686172745265734964223a20223230343731333838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14CCC08">
      <w:pPr>
        <w:spacing w:line="600" w:lineRule="exact"/>
        <w:ind w:firstLine="640"/>
        <w:rPr>
          <w:rFonts w:eastAsia="仿宋_GB2312" w:cs="仿宋_GB2312"/>
          <w:sz w:val="32"/>
          <w:szCs w:val="32"/>
        </w:rPr>
      </w:pPr>
      <w:r>
        <w:rPr>
          <w:rFonts w:hint="eastAsia" w:eastAsia="仿宋_GB2312" w:cs="仿宋_GB2312"/>
          <w:b/>
          <w:bCs/>
          <w:sz w:val="32"/>
          <w:szCs w:val="32"/>
        </w:rPr>
        <w:t>1.因公出国（境）经费支出0万元，完成预算0%。</w:t>
      </w:r>
      <w:r>
        <w:rPr>
          <w:rFonts w:hint="eastAsia" w:eastAsia="仿宋_GB2312" w:cs="仿宋_GB2312"/>
          <w:sz w:val="32"/>
          <w:szCs w:val="32"/>
        </w:rPr>
        <w:t>全年安排因公出国（境）团组0次，出国（境）0人。因公出国（境）支出决算比上年度增加0万元，增长0%。</w:t>
      </w:r>
    </w:p>
    <w:p w14:paraId="02E3F656">
      <w:pPr>
        <w:spacing w:line="600" w:lineRule="exact"/>
        <w:ind w:firstLine="640"/>
        <w:rPr>
          <w:rFonts w:eastAsia="仿宋_GB2312" w:cs="仿宋_GB2312"/>
          <w:sz w:val="32"/>
          <w:szCs w:val="32"/>
        </w:rPr>
      </w:pPr>
      <w:r>
        <w:rPr>
          <w:rFonts w:hint="eastAsia" w:eastAsia="仿宋_GB2312" w:cs="仿宋_GB2312"/>
          <w:sz w:val="32"/>
          <w:szCs w:val="32"/>
        </w:rPr>
        <w:t>开支内容包括：无。</w:t>
      </w:r>
    </w:p>
    <w:p w14:paraId="3EF87723">
      <w:pPr>
        <w:spacing w:line="600" w:lineRule="exact"/>
        <w:ind w:firstLine="640"/>
        <w:rPr>
          <w:rFonts w:eastAsia="仿宋_GB2312" w:cs="仿宋_GB2312"/>
          <w:sz w:val="32"/>
          <w:szCs w:val="32"/>
        </w:rPr>
      </w:pPr>
      <w:r>
        <w:rPr>
          <w:rFonts w:hint="eastAsia" w:eastAsia="仿宋_GB2312" w:cs="仿宋_GB2312"/>
          <w:b/>
          <w:bCs/>
          <w:sz w:val="32"/>
          <w:szCs w:val="32"/>
        </w:rPr>
        <w:t>2.公务用车购置及运行维护费支出1.13万元，完成预算83.09%。</w:t>
      </w:r>
      <w:r>
        <w:rPr>
          <w:rFonts w:hint="eastAsia" w:eastAsia="仿宋_GB2312" w:cs="仿宋_GB2312"/>
          <w:sz w:val="32"/>
          <w:szCs w:val="32"/>
        </w:rPr>
        <w:t>公务用车购置及运行维护费支出决算比上年度增加0万元，增长0%。主要原因是与上年度持平。</w:t>
      </w:r>
    </w:p>
    <w:p w14:paraId="1FAEFC7A">
      <w:pPr>
        <w:spacing w:line="600" w:lineRule="exact"/>
        <w:ind w:firstLine="640"/>
        <w:rPr>
          <w:rFonts w:eastAsia="仿宋_GB2312" w:cs="仿宋_GB2312"/>
          <w:sz w:val="32"/>
          <w:szCs w:val="32"/>
        </w:rPr>
      </w:pPr>
      <w:r>
        <w:rPr>
          <w:rFonts w:hint="eastAsia" w:eastAsia="仿宋_GB2312" w:cs="仿宋_GB2312"/>
          <w:sz w:val="32"/>
          <w:szCs w:val="32"/>
        </w:rPr>
        <w:t>其中：公务用车购置支出0万元。全年按规定更新购置公务用车0辆，其中：轿车0辆、金额0万元，越野车0辆、金额0万元，载客汽车0辆、金额0万元0。截至2025年12月31日，单位共有公务用车1辆，其中：轿车1辆、越野车0辆、载客汽车0辆。</w:t>
      </w:r>
    </w:p>
    <w:p w14:paraId="3D1D10E3">
      <w:pPr>
        <w:spacing w:line="600" w:lineRule="exact"/>
        <w:ind w:firstLine="640"/>
        <w:rPr>
          <w:rFonts w:eastAsia="仿宋_GB2312" w:cs="仿宋_GB2312"/>
          <w:sz w:val="32"/>
          <w:szCs w:val="32"/>
        </w:rPr>
      </w:pPr>
      <w:r>
        <w:rPr>
          <w:rFonts w:hint="eastAsia" w:eastAsia="仿宋_GB2312" w:cs="仿宋_GB2312"/>
          <w:sz w:val="32"/>
          <w:szCs w:val="32"/>
        </w:rPr>
        <w:t>公务用车运行维护费支出1.13万元。主要用于森林草原防灭火、森林资源巡护等日常工作所需的公务用车燃料费、维修费、保险费等支出。</w:t>
      </w:r>
    </w:p>
    <w:p w14:paraId="266E1A7E">
      <w:pPr>
        <w:spacing w:line="600" w:lineRule="exact"/>
        <w:ind w:firstLine="640"/>
        <w:rPr>
          <w:rFonts w:eastAsia="仿宋_GB2312" w:cs="仿宋_GB2312"/>
          <w:sz w:val="32"/>
          <w:szCs w:val="32"/>
        </w:rPr>
      </w:pPr>
      <w:r>
        <w:rPr>
          <w:rFonts w:hint="eastAsia" w:eastAsia="仿宋_GB2312" w:cs="仿宋_GB2312"/>
          <w:b/>
          <w:bCs/>
          <w:sz w:val="32"/>
          <w:szCs w:val="32"/>
        </w:rPr>
        <w:t>3.公务接待费支出0.23万元，完成预算16.91%。</w:t>
      </w:r>
      <w:r>
        <w:rPr>
          <w:rFonts w:hint="eastAsia" w:eastAsia="仿宋_GB2312" w:cs="仿宋_GB2312"/>
          <w:sz w:val="32"/>
          <w:szCs w:val="32"/>
        </w:rPr>
        <w:t>公务接待费支出决算比上年度增加0.07万元，增长43.75%。主要原因是公务接待人数较上年度增加。其中：</w:t>
      </w:r>
    </w:p>
    <w:p w14:paraId="7939D9CD">
      <w:pPr>
        <w:spacing w:line="600" w:lineRule="exact"/>
        <w:ind w:firstLine="640"/>
        <w:rPr>
          <w:rFonts w:eastAsia="仿宋_GB2312" w:cs="仿宋_GB2312"/>
          <w:sz w:val="32"/>
          <w:szCs w:val="32"/>
        </w:rPr>
      </w:pPr>
      <w:r>
        <w:rPr>
          <w:rFonts w:hint="eastAsia" w:eastAsia="仿宋_GB2312" w:cs="仿宋_GB2312"/>
          <w:sz w:val="32"/>
          <w:szCs w:val="32"/>
        </w:rPr>
        <w:t>国内公务接待支出0.23万元，主要用于自然保护地图斑核查、“森林四库”涉自然保护地调研工作开支的用餐费。国内公务接待2批次，15人次（不包括陪同人员），共计支出0.23万元，具体内容包括：开展自然保护地图斑核查0.1万元、“森林四库”涉自然保护地调研0.13万元。</w:t>
      </w:r>
    </w:p>
    <w:p w14:paraId="617C7334">
      <w:pPr>
        <w:spacing w:line="600" w:lineRule="exact"/>
        <w:ind w:firstLine="640"/>
        <w:rPr>
          <w:rFonts w:eastAsia="仿宋_GB2312" w:cs="仿宋_GB2312"/>
          <w:sz w:val="32"/>
          <w:szCs w:val="32"/>
        </w:rPr>
      </w:pPr>
      <w:r>
        <w:rPr>
          <w:rFonts w:hint="eastAsia" w:eastAsia="仿宋_GB2312" w:cs="仿宋_GB2312"/>
          <w:sz w:val="32"/>
          <w:szCs w:val="32"/>
        </w:rPr>
        <w:t>外事接待支出0万元。外事接待0批次，0人次（不包括陪同人员），共计支出0万元。</w:t>
      </w:r>
      <w:bookmarkStart w:id="40" w:name="_Toc15396610"/>
      <w:bookmarkStart w:id="41" w:name="_Toc15377218"/>
    </w:p>
    <w:p w14:paraId="56DAD635">
      <w:pPr>
        <w:spacing w:line="600" w:lineRule="exact"/>
        <w:ind w:firstLine="640"/>
        <w:outlineLvl w:val="1"/>
        <w:rPr>
          <w:rStyle w:val="29"/>
          <w:rFonts w:ascii="Times New Roman" w:hAnsi="Times New Roman" w:eastAsia="黑体"/>
        </w:rPr>
      </w:pPr>
      <w:r>
        <w:rPr>
          <w:rFonts w:hint="eastAsia" w:eastAsia="黑体"/>
          <w:sz w:val="32"/>
          <w:szCs w:val="32"/>
        </w:rPr>
        <w:t>八、</w:t>
      </w:r>
      <w:r>
        <w:rPr>
          <w:rStyle w:val="29"/>
          <w:rFonts w:hint="eastAsia" w:ascii="Times New Roman" w:hAnsi="Times New Roman" w:eastAsia="黑体"/>
          <w:b w:val="0"/>
        </w:rPr>
        <w:t>政府性基金预算支出决算情况说明</w:t>
      </w:r>
      <w:bookmarkEnd w:id="40"/>
      <w:bookmarkEnd w:id="41"/>
    </w:p>
    <w:p w14:paraId="481752E1">
      <w:pPr>
        <w:spacing w:line="600" w:lineRule="exact"/>
        <w:ind w:firstLine="640"/>
        <w:rPr>
          <w:rFonts w:eastAsia="仿宋_GB2312" w:cs="仿宋_GB2312"/>
          <w:sz w:val="32"/>
          <w:szCs w:val="32"/>
        </w:rPr>
      </w:pPr>
      <w:r>
        <w:rPr>
          <w:rFonts w:hint="eastAsia" w:eastAsia="仿宋_GB2312" w:cs="仿宋_GB2312"/>
          <w:sz w:val="32"/>
          <w:szCs w:val="32"/>
        </w:rPr>
        <w:t>2025年度政府性基金预算财政拨款支出0万元。</w:t>
      </w:r>
    </w:p>
    <w:p w14:paraId="6E541D4F">
      <w:pPr>
        <w:spacing w:line="600" w:lineRule="exact"/>
        <w:ind w:left="630"/>
        <w:outlineLvl w:val="1"/>
        <w:rPr>
          <w:rStyle w:val="29"/>
          <w:rFonts w:ascii="Times New Roman" w:hAnsi="Times New Roman" w:eastAsia="黑体"/>
          <w:b w:val="0"/>
        </w:rPr>
      </w:pPr>
      <w:bookmarkStart w:id="42" w:name="_Toc15396611"/>
      <w:bookmarkStart w:id="43" w:name="_Toc15377219"/>
      <w:r>
        <w:rPr>
          <w:rStyle w:val="29"/>
          <w:rFonts w:hint="eastAsia" w:ascii="Times New Roman" w:hAnsi="Times New Roman" w:eastAsia="黑体"/>
          <w:b w:val="0"/>
        </w:rPr>
        <w:t>九、国有资本经营预算支出决算情况说明</w:t>
      </w:r>
      <w:bookmarkEnd w:id="42"/>
      <w:bookmarkEnd w:id="43"/>
    </w:p>
    <w:p w14:paraId="4E87AD47">
      <w:pPr>
        <w:spacing w:line="600" w:lineRule="exact"/>
        <w:ind w:firstLine="640"/>
        <w:rPr>
          <w:rFonts w:eastAsia="仿宋_GB2312" w:cs="仿宋_GB2312"/>
          <w:sz w:val="32"/>
          <w:szCs w:val="32"/>
        </w:rPr>
      </w:pPr>
      <w:r>
        <w:rPr>
          <w:rFonts w:hint="eastAsia" w:eastAsia="仿宋_GB2312" w:cs="仿宋_GB2312"/>
          <w:sz w:val="32"/>
          <w:szCs w:val="32"/>
        </w:rPr>
        <w:t>2025年度国有资本经营预算财政拨款支出0万元。</w:t>
      </w:r>
    </w:p>
    <w:p w14:paraId="4D3D4223">
      <w:pPr>
        <w:spacing w:line="600" w:lineRule="exact"/>
        <w:ind w:left="630"/>
        <w:outlineLvl w:val="1"/>
        <w:rPr>
          <w:rStyle w:val="29"/>
          <w:rFonts w:ascii="Times New Roman" w:hAnsi="Times New Roman" w:eastAsia="黑体"/>
          <w:b w:val="0"/>
        </w:rPr>
      </w:pPr>
      <w:bookmarkStart w:id="44" w:name="_Toc15396612"/>
      <w:bookmarkStart w:id="45" w:name="_Toc15377221"/>
      <w:r>
        <w:rPr>
          <w:rStyle w:val="29"/>
          <w:rFonts w:hint="eastAsia" w:ascii="Times New Roman" w:hAnsi="Times New Roman" w:eastAsia="黑体"/>
          <w:b w:val="0"/>
        </w:rPr>
        <w:t>十、其他重要事项的情况说明</w:t>
      </w:r>
      <w:bookmarkEnd w:id="44"/>
      <w:bookmarkEnd w:id="45"/>
    </w:p>
    <w:p w14:paraId="2F1FC4C9">
      <w:pPr>
        <w:spacing w:line="600" w:lineRule="exact"/>
        <w:ind w:firstLine="643" w:firstLineChars="200"/>
        <w:outlineLvl w:val="2"/>
        <w:rPr>
          <w:rFonts w:eastAsia="楷体_GB2312" w:cs="楷体_GB2312"/>
          <w:b/>
          <w:sz w:val="32"/>
          <w:szCs w:val="32"/>
        </w:rPr>
      </w:pPr>
      <w:bookmarkStart w:id="46" w:name="_Toc15377222"/>
      <w:r>
        <w:rPr>
          <w:rFonts w:hint="eastAsia" w:eastAsia="楷体_GB2312" w:cs="楷体_GB2312"/>
          <w:b/>
          <w:sz w:val="32"/>
          <w:szCs w:val="32"/>
        </w:rPr>
        <w:t>（一）机关运行经费支出情况</w:t>
      </w:r>
      <w:bookmarkEnd w:id="46"/>
    </w:p>
    <w:p w14:paraId="0D9064B3">
      <w:pPr>
        <w:spacing w:line="600" w:lineRule="exact"/>
        <w:ind w:firstLine="640"/>
        <w:rPr>
          <w:rFonts w:eastAsia="仿宋_GB2312" w:cs="仿宋_GB2312"/>
          <w:sz w:val="32"/>
          <w:szCs w:val="32"/>
        </w:rPr>
      </w:pPr>
      <w:r>
        <w:rPr>
          <w:rFonts w:hint="eastAsia" w:eastAsia="仿宋_GB2312" w:cs="仿宋_GB2312"/>
          <w:sz w:val="32"/>
          <w:szCs w:val="32"/>
        </w:rPr>
        <w:t>2025年度，攀枝花市二滩国家森林公园保护中心（攀枝花市二滩风景名胜区保护中心）机关运行经费支出19.34万元，比上年度增加1.87万元，增长10.7%。主要原因是公用经费支出增加。</w:t>
      </w:r>
    </w:p>
    <w:p w14:paraId="52E1D63D">
      <w:pPr>
        <w:spacing w:line="600" w:lineRule="exact"/>
        <w:ind w:firstLine="643" w:firstLineChars="200"/>
        <w:outlineLvl w:val="2"/>
        <w:rPr>
          <w:rFonts w:eastAsia="楷体_GB2312" w:cs="楷体_GB2312"/>
          <w:b/>
          <w:sz w:val="32"/>
          <w:szCs w:val="32"/>
        </w:rPr>
      </w:pPr>
      <w:bookmarkStart w:id="47" w:name="_Toc15377223"/>
      <w:r>
        <w:rPr>
          <w:rFonts w:hint="eastAsia" w:eastAsia="楷体_GB2312" w:cs="楷体_GB2312"/>
          <w:b/>
          <w:sz w:val="32"/>
          <w:szCs w:val="32"/>
        </w:rPr>
        <w:t>（二）政府采购支出情况</w:t>
      </w:r>
      <w:bookmarkEnd w:id="47"/>
    </w:p>
    <w:p w14:paraId="67ADB01F">
      <w:pPr>
        <w:spacing w:line="600" w:lineRule="exact"/>
        <w:ind w:firstLine="640"/>
        <w:rPr>
          <w:rFonts w:eastAsia="仿宋_GB2312" w:cs="仿宋_GB2312"/>
          <w:sz w:val="32"/>
          <w:szCs w:val="32"/>
        </w:rPr>
      </w:pPr>
      <w:r>
        <w:rPr>
          <w:rFonts w:hint="eastAsia" w:eastAsia="仿宋_GB2312" w:cs="仿宋_GB2312"/>
          <w:sz w:val="32"/>
          <w:szCs w:val="32"/>
        </w:rPr>
        <w:t>2025年度，攀枝花市二滩国家森林公园保护中心（攀枝花市二滩风景名胜区保护中心）政府采购支出总额154.14万元，其中：政府采购货物支出153.2万元、政府采购工程支出0万元、政府采购服务支出0.94万元。主要用于二滩国家森林公园森林生态资源监控系统、公务用车车辆燃油费、维修费、保险费。授予中小企业合同金额153.3万元，占政府采购支出总额的99.46%，其中：授予小微企业合同金额152.2万元，占政府采购支出总额的98.74%。</w:t>
      </w:r>
    </w:p>
    <w:p w14:paraId="785E0D64">
      <w:pPr>
        <w:spacing w:line="600" w:lineRule="exact"/>
        <w:ind w:firstLine="643" w:firstLineChars="200"/>
        <w:outlineLvl w:val="2"/>
        <w:rPr>
          <w:rFonts w:eastAsia="楷体_GB2312" w:cs="楷体_GB2312"/>
          <w:b/>
          <w:sz w:val="32"/>
          <w:szCs w:val="32"/>
        </w:rPr>
      </w:pPr>
      <w:bookmarkStart w:id="48" w:name="_Toc15377224"/>
      <w:r>
        <w:rPr>
          <w:rFonts w:hint="eastAsia" w:eastAsia="楷体_GB2312" w:cs="楷体_GB2312"/>
          <w:b/>
          <w:sz w:val="32"/>
          <w:szCs w:val="32"/>
        </w:rPr>
        <w:t>（三）国有资产占有使用情况</w:t>
      </w:r>
      <w:bookmarkEnd w:id="48"/>
    </w:p>
    <w:p w14:paraId="68014B1D">
      <w:pPr>
        <w:spacing w:line="600" w:lineRule="exact"/>
        <w:ind w:firstLine="640"/>
        <w:rPr>
          <w:rFonts w:eastAsia="仿宋_GB2312" w:cs="仿宋_GB2312"/>
          <w:sz w:val="32"/>
          <w:szCs w:val="32"/>
        </w:rPr>
      </w:pPr>
      <w:r>
        <w:rPr>
          <w:rFonts w:hint="eastAsia" w:eastAsia="仿宋_GB2312" w:cs="仿宋_GB2312"/>
          <w:sz w:val="32"/>
          <w:szCs w:val="32"/>
        </w:rPr>
        <w:t>截至2025年12月31日，攀枝花市二滩国家森林公园保护中心（攀枝花市二滩风景名胜区保护中心）共有车辆1辆，其中：副部（省）级及以上领导用车0辆、主要负责人用车0辆、机要通信用车0辆、应急保障用车0辆、执法执勤用车0辆、特种专业技术用车1辆、离退休干部服务用车0辆、其他用车0辆。单价100万元（含）以上设备（不含车辆）0台（套）。</w:t>
      </w:r>
    </w:p>
    <w:p w14:paraId="0130625C">
      <w:pPr>
        <w:spacing w:line="600" w:lineRule="exact"/>
        <w:ind w:firstLine="643" w:firstLineChars="200"/>
        <w:outlineLvl w:val="2"/>
        <w:rPr>
          <w:rFonts w:eastAsia="楷体_GB2312" w:cs="楷体_GB2312"/>
          <w:b/>
          <w:sz w:val="32"/>
          <w:szCs w:val="32"/>
        </w:rPr>
      </w:pPr>
      <w:r>
        <w:rPr>
          <w:rFonts w:hint="eastAsia" w:eastAsia="楷体_GB2312" w:cs="楷体_GB2312"/>
          <w:b/>
          <w:sz w:val="32"/>
          <w:szCs w:val="32"/>
        </w:rPr>
        <w:t>（四）预算绩效管理情况</w:t>
      </w:r>
    </w:p>
    <w:p w14:paraId="4A8FFCEC">
      <w:pPr>
        <w:spacing w:line="600" w:lineRule="exact"/>
        <w:ind w:firstLine="640"/>
        <w:rPr>
          <w:rFonts w:eastAsia="仿宋_GB2312" w:cs="仿宋_GB2312"/>
          <w:sz w:val="32"/>
          <w:szCs w:val="32"/>
        </w:rPr>
      </w:pPr>
      <w:r>
        <w:rPr>
          <w:rFonts w:hint="eastAsia" w:eastAsia="仿宋_GB2312" w:cs="仿宋_GB2312"/>
          <w:sz w:val="32"/>
          <w:szCs w:val="32"/>
        </w:rPr>
        <w:t>根据预算绩效管理要求，攀枝花市二滩国家森林公园保护中心（攀枝花市二滩风景名胜区保护中心）在2025年度，组织对重点生态功能区转移支付资金等3个项目涉及金额816.51万元开展了事前绩效评估，对3个项目编制了绩效目标</w:t>
      </w:r>
      <w:r>
        <w:rPr>
          <w:rFonts w:hint="eastAsia" w:eastAsia="仿宋_GB2312" w:cs="仿宋_GB2312"/>
          <w:sz w:val="32"/>
          <w:szCs w:val="32"/>
          <w:lang w:eastAsia="zh-CN"/>
        </w:rPr>
        <w:t>，在</w:t>
      </w:r>
      <w:r>
        <w:rPr>
          <w:rFonts w:hint="eastAsia" w:eastAsia="仿宋_GB2312" w:cs="仿宋_GB2312"/>
          <w:sz w:val="32"/>
          <w:szCs w:val="32"/>
        </w:rPr>
        <w:t>预算执行过程中，选取3个项目开展绩效监控。</w:t>
      </w:r>
    </w:p>
    <w:p w14:paraId="6E524937">
      <w:pPr>
        <w:spacing w:line="600" w:lineRule="exact"/>
        <w:ind w:firstLine="640"/>
        <w:rPr>
          <w:rFonts w:eastAsia="仿宋_GB2312" w:cs="仿宋_GB2312"/>
          <w:sz w:val="32"/>
          <w:szCs w:val="32"/>
        </w:rPr>
      </w:pPr>
      <w:r>
        <w:rPr>
          <w:rFonts w:hint="eastAsia" w:eastAsia="仿宋_GB2312" w:cs="仿宋_GB2312"/>
          <w:sz w:val="32"/>
          <w:szCs w:val="32"/>
        </w:rPr>
        <w:t>组织对3个项目开展绩效自评，绩效自评表详见附件3。</w:t>
      </w:r>
    </w:p>
    <w:p w14:paraId="00C26F35">
      <w:pPr>
        <w:pStyle w:val="2"/>
        <w:spacing w:line="600" w:lineRule="exact"/>
        <w:rPr>
          <w:rFonts w:eastAsia="仿宋_GB2312" w:cs="仿宋_GB2312"/>
          <w:sz w:val="32"/>
          <w:szCs w:val="32"/>
        </w:rPr>
      </w:pPr>
    </w:p>
    <w:p w14:paraId="00440B19">
      <w:pPr>
        <w:pStyle w:val="3"/>
        <w:spacing w:line="600" w:lineRule="exact"/>
        <w:ind w:left="420" w:firstLine="640"/>
        <w:rPr>
          <w:rFonts w:eastAsia="仿宋_GB2312" w:cs="仿宋_GB2312"/>
          <w:sz w:val="32"/>
        </w:rPr>
      </w:pPr>
    </w:p>
    <w:p w14:paraId="7BF8ADC8">
      <w:pPr>
        <w:spacing w:line="600" w:lineRule="exact"/>
        <w:rPr>
          <w:rFonts w:eastAsia="仿宋_GB2312" w:cs="仿宋_GB2312"/>
          <w:sz w:val="32"/>
          <w:szCs w:val="32"/>
        </w:rPr>
      </w:pPr>
    </w:p>
    <w:p w14:paraId="678416DE">
      <w:pPr>
        <w:pStyle w:val="2"/>
        <w:spacing w:line="600" w:lineRule="exact"/>
        <w:rPr>
          <w:rFonts w:eastAsia="仿宋_GB2312" w:cs="仿宋_GB2312"/>
          <w:sz w:val="32"/>
          <w:szCs w:val="32"/>
        </w:rPr>
      </w:pPr>
    </w:p>
    <w:p w14:paraId="6B5D6989">
      <w:pPr>
        <w:pStyle w:val="3"/>
        <w:spacing w:line="600" w:lineRule="exact"/>
        <w:ind w:left="420" w:firstLine="640"/>
        <w:rPr>
          <w:rFonts w:eastAsia="仿宋_GB2312" w:cs="仿宋_GB2312"/>
          <w:sz w:val="32"/>
        </w:rPr>
      </w:pPr>
    </w:p>
    <w:p w14:paraId="6BE02983">
      <w:pPr>
        <w:spacing w:line="600" w:lineRule="exact"/>
        <w:rPr>
          <w:rFonts w:eastAsia="仿宋_GB2312" w:cs="仿宋_GB2312"/>
          <w:sz w:val="32"/>
          <w:szCs w:val="32"/>
        </w:rPr>
      </w:pPr>
    </w:p>
    <w:p w14:paraId="071570E9">
      <w:pPr>
        <w:pStyle w:val="2"/>
        <w:spacing w:line="600" w:lineRule="exact"/>
        <w:rPr>
          <w:rFonts w:eastAsia="仿宋_GB2312" w:cs="仿宋_GB2312"/>
          <w:sz w:val="32"/>
          <w:szCs w:val="32"/>
        </w:rPr>
      </w:pPr>
    </w:p>
    <w:p w14:paraId="3371E492">
      <w:pPr>
        <w:pStyle w:val="3"/>
        <w:spacing w:line="600" w:lineRule="exact"/>
        <w:ind w:left="420" w:firstLine="640"/>
        <w:rPr>
          <w:rFonts w:eastAsia="仿宋_GB2312" w:cs="仿宋_GB2312"/>
          <w:sz w:val="32"/>
        </w:rPr>
      </w:pPr>
    </w:p>
    <w:p w14:paraId="07BF68A4">
      <w:pPr>
        <w:spacing w:line="600" w:lineRule="exact"/>
        <w:rPr>
          <w:rFonts w:eastAsia="仿宋_GB2312" w:cs="仿宋_GB2312"/>
          <w:sz w:val="32"/>
          <w:szCs w:val="32"/>
        </w:rPr>
      </w:pPr>
    </w:p>
    <w:p w14:paraId="6BBB6CC4">
      <w:pPr>
        <w:pStyle w:val="2"/>
        <w:spacing w:line="600" w:lineRule="exact"/>
        <w:rPr>
          <w:rFonts w:eastAsia="仿宋_GB2312" w:cs="仿宋_GB2312"/>
          <w:sz w:val="32"/>
          <w:szCs w:val="32"/>
        </w:rPr>
      </w:pPr>
    </w:p>
    <w:p w14:paraId="280C6FA1">
      <w:pPr>
        <w:pStyle w:val="3"/>
        <w:spacing w:line="600" w:lineRule="exact"/>
        <w:ind w:left="420" w:firstLine="640"/>
        <w:rPr>
          <w:rFonts w:eastAsia="仿宋_GB2312" w:cs="仿宋_GB2312"/>
          <w:sz w:val="32"/>
        </w:rPr>
      </w:pPr>
    </w:p>
    <w:p w14:paraId="6D7B4D32">
      <w:pPr>
        <w:spacing w:line="600" w:lineRule="exact"/>
        <w:rPr>
          <w:rFonts w:eastAsia="仿宋_GB2312" w:cs="仿宋_GB2312"/>
          <w:sz w:val="32"/>
          <w:szCs w:val="32"/>
        </w:rPr>
      </w:pPr>
    </w:p>
    <w:p w14:paraId="36451C32">
      <w:pPr>
        <w:pStyle w:val="2"/>
        <w:spacing w:line="600" w:lineRule="exact"/>
        <w:rPr>
          <w:rFonts w:eastAsia="仿宋_GB2312" w:cs="仿宋_GB2312"/>
          <w:sz w:val="32"/>
          <w:szCs w:val="32"/>
        </w:rPr>
      </w:pPr>
    </w:p>
    <w:p w14:paraId="34162328">
      <w:pPr>
        <w:pStyle w:val="3"/>
        <w:spacing w:line="600" w:lineRule="exact"/>
        <w:ind w:left="420" w:firstLine="640"/>
        <w:rPr>
          <w:rFonts w:eastAsia="仿宋_GB2312" w:cs="仿宋_GB2312"/>
          <w:sz w:val="32"/>
        </w:rPr>
      </w:pPr>
    </w:p>
    <w:p w14:paraId="38B3E149">
      <w:pPr>
        <w:spacing w:line="600" w:lineRule="exact"/>
        <w:rPr>
          <w:rFonts w:eastAsia="仿宋_GB2312" w:cs="仿宋_GB2312"/>
          <w:sz w:val="32"/>
          <w:szCs w:val="32"/>
        </w:rPr>
      </w:pPr>
    </w:p>
    <w:p w14:paraId="34F0BA06">
      <w:pPr>
        <w:pStyle w:val="2"/>
        <w:spacing w:line="600" w:lineRule="exact"/>
        <w:rPr>
          <w:rFonts w:eastAsia="仿宋_GB2312" w:cs="仿宋_GB2312"/>
          <w:sz w:val="32"/>
          <w:szCs w:val="32"/>
        </w:rPr>
      </w:pPr>
    </w:p>
    <w:p w14:paraId="10D163F6">
      <w:pPr>
        <w:pStyle w:val="3"/>
        <w:ind w:left="420"/>
      </w:pPr>
    </w:p>
    <w:p w14:paraId="20D8050B">
      <w:pPr>
        <w:pStyle w:val="3"/>
        <w:spacing w:line="600" w:lineRule="exact"/>
        <w:ind w:left="420" w:firstLine="640"/>
        <w:rPr>
          <w:rFonts w:eastAsia="仿宋_GB2312" w:cs="仿宋_GB2312"/>
          <w:sz w:val="32"/>
        </w:rPr>
      </w:pPr>
    </w:p>
    <w:p w14:paraId="676E1BA7">
      <w:pPr>
        <w:spacing w:line="600" w:lineRule="exact"/>
        <w:rPr>
          <w:rFonts w:eastAsia="仿宋_GB2312" w:cs="仿宋_GB2312"/>
          <w:sz w:val="32"/>
          <w:szCs w:val="32"/>
        </w:rPr>
      </w:pPr>
    </w:p>
    <w:p w14:paraId="3BE24E91">
      <w:pPr>
        <w:spacing w:line="600" w:lineRule="exact"/>
        <w:jc w:val="center"/>
        <w:outlineLvl w:val="0"/>
        <w:rPr>
          <w:rFonts w:eastAsia="黑体"/>
          <w:sz w:val="44"/>
          <w:szCs w:val="44"/>
        </w:rPr>
      </w:pPr>
      <w:bookmarkStart w:id="49" w:name="_Toc15396613"/>
      <w:bookmarkStart w:id="50" w:name="_Toc15377225"/>
      <w:r>
        <w:rPr>
          <w:rFonts w:hint="eastAsia" w:eastAsia="黑体"/>
          <w:sz w:val="44"/>
          <w:szCs w:val="44"/>
        </w:rPr>
        <w:t>第三部分  名词解释</w:t>
      </w:r>
      <w:bookmarkEnd w:id="49"/>
      <w:bookmarkEnd w:id="50"/>
    </w:p>
    <w:p w14:paraId="17AE4A18">
      <w:pPr>
        <w:spacing w:line="560" w:lineRule="exact"/>
        <w:jc w:val="left"/>
        <w:rPr>
          <w:b/>
          <w:sz w:val="44"/>
          <w:szCs w:val="44"/>
        </w:rPr>
      </w:pPr>
    </w:p>
    <w:p w14:paraId="5B1319E8">
      <w:pPr>
        <w:spacing w:line="560" w:lineRule="exact"/>
        <w:ind w:firstLine="640"/>
        <w:rPr>
          <w:rFonts w:eastAsia="仿宋_GB2312" w:cs="仿宋_GB2312"/>
          <w:sz w:val="32"/>
          <w:szCs w:val="32"/>
        </w:rPr>
      </w:pPr>
      <w:bookmarkStart w:id="51" w:name="_Toc15377226"/>
      <w:r>
        <w:rPr>
          <w:rFonts w:hint="eastAsia" w:eastAsia="仿宋_GB2312" w:cs="仿宋_GB2312"/>
          <w:sz w:val="32"/>
          <w:szCs w:val="32"/>
        </w:rPr>
        <w:t>1.财政拨款收入：指单位从同级财政部门取得的财政预算资金。</w:t>
      </w:r>
    </w:p>
    <w:p w14:paraId="55DF1BE4">
      <w:pPr>
        <w:spacing w:line="560" w:lineRule="exact"/>
        <w:ind w:firstLine="640"/>
        <w:rPr>
          <w:rFonts w:eastAsia="仿宋_GB2312" w:cs="仿宋_GB2312"/>
          <w:sz w:val="32"/>
          <w:szCs w:val="32"/>
        </w:rPr>
      </w:pPr>
      <w:r>
        <w:rPr>
          <w:rFonts w:hint="eastAsia" w:eastAsia="仿宋_GB2312" w:cs="仿宋_GB2312"/>
          <w:sz w:val="32"/>
          <w:szCs w:val="32"/>
        </w:rPr>
        <w:t xml:space="preserve">2.使用非财政拨款结余（含专用结余）：指事业单位使用以前年度积累的非财政拨款结余弥补当年收支差额的金额。 </w:t>
      </w:r>
    </w:p>
    <w:p w14:paraId="16CA3FF5">
      <w:pPr>
        <w:spacing w:line="560" w:lineRule="exact"/>
        <w:ind w:firstLine="640"/>
        <w:rPr>
          <w:rFonts w:eastAsia="仿宋_GB2312" w:cs="仿宋_GB2312"/>
          <w:sz w:val="32"/>
          <w:szCs w:val="32"/>
        </w:rPr>
      </w:pPr>
      <w:r>
        <w:rPr>
          <w:rFonts w:hint="eastAsia" w:eastAsia="仿宋_GB2312" w:cs="仿宋_GB2312"/>
          <w:sz w:val="32"/>
          <w:szCs w:val="32"/>
        </w:rPr>
        <w:t xml:space="preserve">3.年初结转和结余：指以前年度尚未完成、结转到本年按有关规定继续使用的资金。 </w:t>
      </w:r>
    </w:p>
    <w:p w14:paraId="72961845">
      <w:pPr>
        <w:spacing w:line="560" w:lineRule="exact"/>
        <w:ind w:firstLine="640" w:firstLineChars="200"/>
        <w:rPr>
          <w:rFonts w:eastAsia="仿宋_GB2312"/>
          <w:color w:val="000000"/>
          <w:sz w:val="32"/>
          <w:szCs w:val="32"/>
        </w:rPr>
      </w:pPr>
      <w:r>
        <w:rPr>
          <w:rFonts w:hint="eastAsia" w:eastAsia="仿宋_GB2312" w:cs="仿宋_GB2312"/>
          <w:sz w:val="32"/>
          <w:szCs w:val="32"/>
        </w:rPr>
        <w:t>4.</w:t>
      </w:r>
      <w:r>
        <w:rPr>
          <w:rFonts w:eastAsia="仿宋_GB2312"/>
          <w:color w:val="000000"/>
          <w:sz w:val="32"/>
          <w:szCs w:val="32"/>
        </w:rPr>
        <w:t>社会保障和就业</w:t>
      </w:r>
      <w:r>
        <w:rPr>
          <w:rStyle w:val="36"/>
          <w:rFonts w:eastAsia="仿宋_GB2312"/>
          <w:b w:val="0"/>
          <w:bCs/>
          <w:color w:val="000000"/>
          <w:sz w:val="32"/>
          <w:szCs w:val="32"/>
        </w:rPr>
        <w:t>（类）行政事业单位养老支出（款）行政单位离退休（项）</w:t>
      </w:r>
      <w:r>
        <w:rPr>
          <w:rFonts w:eastAsia="仿宋_GB2312"/>
          <w:color w:val="000000"/>
          <w:sz w:val="32"/>
          <w:szCs w:val="32"/>
        </w:rPr>
        <w:t>：指反映行政单位（包括实行公务员管理的事业单位）开支的离退休经费。</w:t>
      </w:r>
    </w:p>
    <w:p w14:paraId="5B5411DD">
      <w:pPr>
        <w:spacing w:line="560" w:lineRule="exact"/>
        <w:ind w:firstLine="640" w:firstLineChars="200"/>
        <w:rPr>
          <w:rStyle w:val="36"/>
          <w:rFonts w:eastAsia="仿宋_GB2312"/>
          <w:b w:val="0"/>
          <w:bCs/>
        </w:rPr>
      </w:pPr>
      <w:r>
        <w:rPr>
          <w:rStyle w:val="36"/>
          <w:rFonts w:hint="eastAsia" w:eastAsia="仿宋_GB2312"/>
          <w:b w:val="0"/>
          <w:bCs/>
          <w:color w:val="000000"/>
          <w:sz w:val="32"/>
          <w:szCs w:val="32"/>
        </w:rPr>
        <w:t>5</w:t>
      </w:r>
      <w:r>
        <w:rPr>
          <w:rStyle w:val="36"/>
          <w:rFonts w:eastAsia="仿宋_GB2312"/>
          <w:b w:val="0"/>
          <w:bCs/>
          <w:color w:val="000000"/>
          <w:sz w:val="32"/>
          <w:szCs w:val="32"/>
        </w:rPr>
        <w:t>.</w:t>
      </w:r>
      <w:r>
        <w:rPr>
          <w:rFonts w:eastAsia="仿宋_GB2312"/>
          <w:color w:val="000000"/>
          <w:sz w:val="32"/>
          <w:szCs w:val="32"/>
        </w:rPr>
        <w:t>社会保障和就业</w:t>
      </w:r>
      <w:r>
        <w:rPr>
          <w:rStyle w:val="36"/>
          <w:rFonts w:eastAsia="仿宋_GB2312"/>
          <w:b w:val="0"/>
          <w:bCs/>
          <w:color w:val="000000"/>
          <w:sz w:val="32"/>
          <w:szCs w:val="32"/>
        </w:rPr>
        <w:t>（类）行政事业单位养老支出（款）机关事业单位基本养老保险缴费支出（项）：指反映机关事业单位</w:t>
      </w:r>
      <w:r>
        <w:rPr>
          <w:rStyle w:val="36"/>
          <w:rFonts w:hint="eastAsia" w:eastAsia="仿宋_GB2312"/>
          <w:b w:val="0"/>
          <w:bCs/>
          <w:color w:val="000000"/>
          <w:sz w:val="32"/>
          <w:szCs w:val="32"/>
        </w:rPr>
        <w:t>实施</w:t>
      </w:r>
      <w:r>
        <w:rPr>
          <w:rStyle w:val="36"/>
          <w:rFonts w:eastAsia="仿宋_GB2312"/>
          <w:b w:val="0"/>
          <w:bCs/>
          <w:color w:val="000000"/>
          <w:sz w:val="32"/>
          <w:szCs w:val="32"/>
        </w:rPr>
        <w:t>养老保险制度由单位实际缴纳的基本养老保险费支出。</w:t>
      </w:r>
    </w:p>
    <w:p w14:paraId="2FB16C3C">
      <w:pPr>
        <w:spacing w:line="560" w:lineRule="exact"/>
        <w:ind w:firstLine="640"/>
        <w:rPr>
          <w:rFonts w:eastAsia="仿宋_GB2312" w:cs="仿宋_GB2312"/>
          <w:sz w:val="32"/>
          <w:szCs w:val="32"/>
        </w:rPr>
      </w:pPr>
      <w:r>
        <w:rPr>
          <w:rStyle w:val="36"/>
          <w:rFonts w:hint="eastAsia" w:ascii="Times New Roman"/>
          <w:b w:val="0"/>
          <w:bCs/>
          <w:color w:val="000000"/>
          <w:sz w:val="32"/>
          <w:szCs w:val="32"/>
        </w:rPr>
        <w:t>6.</w:t>
      </w:r>
      <w:r>
        <w:rPr>
          <w:rFonts w:hint="eastAsia" w:eastAsia="仿宋_GB2312" w:cs="仿宋_GB2312"/>
          <w:sz w:val="32"/>
          <w:szCs w:val="32"/>
        </w:rPr>
        <w:t>卫生健康支出（类）行政事业单位医疗（款）行政单位医疗（项）：反映财政部门安排的行政单位基本医疗保险缴费经费，未参加医疗保险的行政单位的公费医疗经费，按国家规定享受离休人员、红军老战士待遇人员的医疗经费。</w:t>
      </w:r>
    </w:p>
    <w:p w14:paraId="15ADC06F">
      <w:pPr>
        <w:spacing w:line="560" w:lineRule="exact"/>
        <w:ind w:firstLine="640"/>
        <w:rPr>
          <w:rStyle w:val="36"/>
          <w:rFonts w:ascii="Times New Roman" w:eastAsia="仿宋_GB2312"/>
          <w:b w:val="0"/>
          <w:bCs/>
          <w:color w:val="000000"/>
          <w:sz w:val="32"/>
          <w:szCs w:val="32"/>
        </w:rPr>
      </w:pPr>
      <w:r>
        <w:rPr>
          <w:rFonts w:hint="eastAsia" w:eastAsia="仿宋_GB2312" w:cs="仿宋_GB2312"/>
          <w:sz w:val="32"/>
          <w:szCs w:val="32"/>
        </w:rPr>
        <w:t>7.卫生健康支出（类）行政事业单位医疗（款）公务员医疗补助（项）：反映财政部门安排的公务员医疗补助经费</w:t>
      </w:r>
    </w:p>
    <w:p w14:paraId="19FDDF42">
      <w:pPr>
        <w:pStyle w:val="8"/>
        <w:spacing w:before="93" w:line="560" w:lineRule="exact"/>
        <w:ind w:firstLine="640" w:firstLineChars="200"/>
        <w:rPr>
          <w:rStyle w:val="36"/>
          <w:rFonts w:ascii="Times New Roman"/>
          <w:szCs w:val="30"/>
        </w:rPr>
      </w:pPr>
      <w:r>
        <w:rPr>
          <w:rStyle w:val="36"/>
          <w:rFonts w:ascii="Times New Roman"/>
          <w:b w:val="0"/>
          <w:bCs/>
          <w:color w:val="000000"/>
          <w:sz w:val="32"/>
          <w:szCs w:val="32"/>
        </w:rPr>
        <w:t>8.</w:t>
      </w:r>
      <w:r>
        <w:rPr>
          <w:color w:val="000000"/>
          <w:sz w:val="32"/>
          <w:szCs w:val="32"/>
        </w:rPr>
        <w:t>农林水支出</w:t>
      </w:r>
      <w:r>
        <w:rPr>
          <w:rStyle w:val="36"/>
          <w:b w:val="0"/>
          <w:bCs/>
          <w:color w:val="000000"/>
          <w:sz w:val="32"/>
          <w:szCs w:val="32"/>
        </w:rPr>
        <w:t>（类）林业和草原（款）</w:t>
      </w:r>
      <w:r>
        <w:rPr>
          <w:rStyle w:val="36"/>
          <w:rFonts w:hint="eastAsia"/>
          <w:b w:val="0"/>
          <w:bCs/>
          <w:color w:val="000000"/>
          <w:sz w:val="32"/>
          <w:szCs w:val="32"/>
        </w:rPr>
        <w:t>行政运行</w:t>
      </w:r>
      <w:r>
        <w:rPr>
          <w:rStyle w:val="36"/>
          <w:b w:val="0"/>
          <w:bCs/>
          <w:color w:val="000000"/>
          <w:sz w:val="32"/>
          <w:szCs w:val="32"/>
        </w:rPr>
        <w:t>（项）：指</w:t>
      </w:r>
      <w:r>
        <w:rPr>
          <w:rStyle w:val="36"/>
          <w:rFonts w:hint="eastAsia"/>
          <w:b w:val="0"/>
          <w:bCs/>
          <w:color w:val="000000"/>
          <w:sz w:val="32"/>
          <w:szCs w:val="32"/>
        </w:rPr>
        <w:t>反映行政单位（包括实行公务员管理的事业单位）的基本支出</w:t>
      </w:r>
      <w:r>
        <w:rPr>
          <w:rStyle w:val="36"/>
          <w:rFonts w:ascii="Times New Roman"/>
          <w:b w:val="0"/>
          <w:bCs/>
          <w:color w:val="000000"/>
          <w:sz w:val="32"/>
          <w:szCs w:val="32"/>
        </w:rPr>
        <w:t>。</w:t>
      </w:r>
    </w:p>
    <w:p w14:paraId="260AC9F5">
      <w:pPr>
        <w:spacing w:line="560" w:lineRule="exact"/>
        <w:ind w:firstLine="640" w:firstLineChars="200"/>
        <w:rPr>
          <w:rStyle w:val="36"/>
          <w:rFonts w:eastAsia="仿宋_GB2312"/>
          <w:b w:val="0"/>
          <w:bCs/>
          <w:color w:val="000000"/>
          <w:sz w:val="32"/>
          <w:szCs w:val="32"/>
        </w:rPr>
      </w:pPr>
      <w:r>
        <w:rPr>
          <w:rFonts w:hint="eastAsia" w:eastAsia="仿宋_GB2312" w:cs="仿宋_GB2312"/>
          <w:sz w:val="32"/>
          <w:szCs w:val="32"/>
        </w:rPr>
        <w:t>9.</w:t>
      </w:r>
      <w:r>
        <w:rPr>
          <w:rFonts w:eastAsia="仿宋_GB2312"/>
          <w:color w:val="000000"/>
          <w:sz w:val="32"/>
          <w:szCs w:val="32"/>
        </w:rPr>
        <w:t>农林水支出</w:t>
      </w:r>
      <w:r>
        <w:rPr>
          <w:rStyle w:val="36"/>
          <w:rFonts w:eastAsia="仿宋_GB2312"/>
          <w:b w:val="0"/>
          <w:bCs/>
          <w:color w:val="000000"/>
          <w:sz w:val="32"/>
          <w:szCs w:val="32"/>
        </w:rPr>
        <w:t>（类）林业和草原（款）</w:t>
      </w:r>
      <w:r>
        <w:rPr>
          <w:rStyle w:val="36"/>
          <w:rFonts w:hint="eastAsia" w:eastAsia="仿宋_GB2312"/>
          <w:b w:val="0"/>
          <w:bCs/>
          <w:color w:val="000000"/>
          <w:sz w:val="32"/>
          <w:szCs w:val="32"/>
        </w:rPr>
        <w:t>其他林业和草原支出</w:t>
      </w:r>
      <w:r>
        <w:rPr>
          <w:rStyle w:val="36"/>
          <w:rFonts w:eastAsia="仿宋_GB2312"/>
          <w:b w:val="0"/>
          <w:bCs/>
          <w:color w:val="000000"/>
          <w:sz w:val="32"/>
          <w:szCs w:val="32"/>
        </w:rPr>
        <w:t>（项）：指</w:t>
      </w:r>
      <w:r>
        <w:rPr>
          <w:rStyle w:val="36"/>
          <w:rFonts w:hint="eastAsia" w:eastAsia="仿宋_GB2312"/>
          <w:b w:val="0"/>
          <w:bCs/>
          <w:color w:val="000000"/>
          <w:sz w:val="32"/>
          <w:szCs w:val="32"/>
        </w:rPr>
        <w:t>反映其他用于林业和草原方面的支出</w:t>
      </w:r>
      <w:r>
        <w:rPr>
          <w:rStyle w:val="36"/>
          <w:rFonts w:eastAsia="仿宋_GB2312"/>
          <w:b w:val="0"/>
          <w:bCs/>
          <w:color w:val="000000"/>
          <w:sz w:val="32"/>
          <w:szCs w:val="32"/>
        </w:rPr>
        <w:t>。</w:t>
      </w:r>
    </w:p>
    <w:p w14:paraId="059606EC">
      <w:pPr>
        <w:spacing w:line="560" w:lineRule="exact"/>
        <w:ind w:firstLine="640" w:firstLineChars="200"/>
        <w:rPr>
          <w:rFonts w:eastAsia="仿宋_GB2312" w:cs="仿宋_GB2312"/>
          <w:sz w:val="32"/>
          <w:szCs w:val="32"/>
        </w:rPr>
      </w:pPr>
      <w:r>
        <w:rPr>
          <w:rFonts w:hint="eastAsia" w:eastAsia="仿宋_GB2312" w:cs="仿宋_GB2312"/>
          <w:sz w:val="32"/>
          <w:szCs w:val="32"/>
        </w:rPr>
        <w:t>10.</w:t>
      </w:r>
      <w:r>
        <w:rPr>
          <w:rFonts w:eastAsia="仿宋_GB2312"/>
          <w:color w:val="000000"/>
          <w:sz w:val="32"/>
          <w:szCs w:val="32"/>
        </w:rPr>
        <w:t>住房保障支出</w:t>
      </w:r>
      <w:r>
        <w:rPr>
          <w:rStyle w:val="36"/>
          <w:rFonts w:eastAsia="仿宋_GB2312"/>
          <w:b w:val="0"/>
          <w:bCs/>
          <w:color w:val="000000"/>
          <w:sz w:val="32"/>
          <w:szCs w:val="32"/>
        </w:rPr>
        <w:t>（类）住房改革支出（款）住房公积金（项）：指反映行政事业单位按人力资源和社会保障部、财政部规定的基本工资和津贴补贴以及规定比例为职工缴纳的住房公积金。</w:t>
      </w:r>
    </w:p>
    <w:p w14:paraId="73755818">
      <w:pPr>
        <w:spacing w:line="560" w:lineRule="exact"/>
        <w:ind w:firstLine="640"/>
        <w:rPr>
          <w:rFonts w:eastAsia="仿宋_GB2312" w:cs="仿宋_GB2312"/>
          <w:sz w:val="32"/>
          <w:szCs w:val="32"/>
        </w:rPr>
      </w:pPr>
      <w:r>
        <w:rPr>
          <w:rFonts w:hint="eastAsia" w:eastAsia="仿宋_GB2312" w:cs="仿宋_GB2312"/>
          <w:sz w:val="32"/>
          <w:szCs w:val="32"/>
        </w:rPr>
        <w:t>11.基本支出：指为保障机构正常运转、完成日常工作任务而发生的人员支出和公用支出。</w:t>
      </w:r>
    </w:p>
    <w:p w14:paraId="66166543">
      <w:pPr>
        <w:spacing w:line="560" w:lineRule="exact"/>
        <w:ind w:firstLine="640"/>
        <w:rPr>
          <w:rFonts w:eastAsia="仿宋_GB2312" w:cs="仿宋_GB2312"/>
          <w:sz w:val="32"/>
          <w:szCs w:val="32"/>
        </w:rPr>
      </w:pPr>
      <w:r>
        <w:rPr>
          <w:rFonts w:hint="eastAsia" w:eastAsia="仿宋_GB2312" w:cs="仿宋_GB2312"/>
          <w:sz w:val="32"/>
          <w:szCs w:val="32"/>
        </w:rPr>
        <w:t xml:space="preserve">12.项目支出：指在基本支出之外为完成特定行政任务和事业发展目标所发生的支出。 </w:t>
      </w:r>
    </w:p>
    <w:p w14:paraId="65494A73">
      <w:pPr>
        <w:spacing w:line="560" w:lineRule="exact"/>
        <w:ind w:firstLine="640"/>
        <w:rPr>
          <w:rFonts w:eastAsia="仿宋_GB2312" w:cs="仿宋_GB2312"/>
          <w:sz w:val="32"/>
          <w:szCs w:val="32"/>
        </w:rPr>
      </w:pPr>
      <w:r>
        <w:rPr>
          <w:rFonts w:hint="eastAsia" w:eastAsia="仿宋_GB2312" w:cs="仿宋_GB2312"/>
          <w:sz w:val="32"/>
          <w:szCs w:val="32"/>
        </w:rPr>
        <w:t>13.“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C2EF080">
      <w:pPr>
        <w:spacing w:line="560" w:lineRule="exact"/>
        <w:ind w:firstLine="640"/>
        <w:rPr>
          <w:rFonts w:eastAsia="仿宋_GB2312" w:cs="仿宋_GB2312"/>
          <w:sz w:val="32"/>
          <w:szCs w:val="32"/>
        </w:rPr>
      </w:pPr>
      <w:r>
        <w:rPr>
          <w:rFonts w:hint="eastAsia" w:eastAsia="仿宋_GB2312" w:cs="仿宋_GB2312"/>
          <w:sz w:val="32"/>
          <w:szCs w:val="32"/>
        </w:rPr>
        <w:t>14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72FE326">
      <w:pPr>
        <w:spacing w:line="600" w:lineRule="exact"/>
        <w:jc w:val="center"/>
        <w:rPr>
          <w:rStyle w:val="28"/>
          <w:rFonts w:eastAsia="黑体"/>
          <w:b w:val="0"/>
        </w:rPr>
      </w:pPr>
      <w:r>
        <w:rPr>
          <w:rFonts w:hint="eastAsia" w:eastAsia="仿宋_GB2312" w:cs="仿宋_GB2312"/>
          <w:sz w:val="32"/>
          <w:szCs w:val="32"/>
        </w:rPr>
        <w:br w:type="page"/>
      </w:r>
      <w:bookmarkStart w:id="52" w:name="_Toc15396614"/>
      <w:r>
        <w:rPr>
          <w:rFonts w:hint="eastAsia" w:eastAsia="黑体"/>
          <w:sz w:val="44"/>
          <w:szCs w:val="44"/>
        </w:rPr>
        <w:t>第四部分  附件</w:t>
      </w:r>
      <w:bookmarkEnd w:id="52"/>
    </w:p>
    <w:p w14:paraId="506E8457">
      <w:pPr>
        <w:pStyle w:val="8"/>
        <w:spacing w:before="93"/>
        <w:ind w:firstLine="640" w:firstLineChars="200"/>
        <w:rPr>
          <w:rFonts w:ascii="Times New Roman" w:eastAsia="黑体"/>
        </w:rPr>
      </w:pPr>
      <w:r>
        <w:rPr>
          <w:rFonts w:hint="eastAsia" w:ascii="Times New Roman"/>
          <w:sz w:val="32"/>
          <w:lang w:bidi="ar"/>
        </w:rPr>
        <w:t>部门预算项目支出绩效自评表（2025年度）</w:t>
      </w:r>
      <w:r>
        <w:rPr>
          <w:rFonts w:hint="eastAsia" w:hAnsi="仿宋_GB2312" w:cs="仿宋_GB2312"/>
          <w:sz w:val="32"/>
          <w:szCs w:val="32"/>
        </w:rPr>
        <w:t>见附件</w:t>
      </w:r>
      <w:r>
        <w:rPr>
          <w:rFonts w:ascii="Times New Roman"/>
          <w:sz w:val="32"/>
          <w:szCs w:val="32"/>
        </w:rPr>
        <w:t>3</w:t>
      </w:r>
      <w:r>
        <w:rPr>
          <w:rFonts w:hint="eastAsia" w:ascii="Times New Roman"/>
          <w:sz w:val="32"/>
          <w:szCs w:val="32"/>
        </w:rPr>
        <w:t>。</w:t>
      </w:r>
    </w:p>
    <w:p w14:paraId="31190ED6">
      <w:pPr>
        <w:pStyle w:val="3"/>
        <w:spacing w:line="560" w:lineRule="exact"/>
        <w:ind w:left="0" w:leftChars="0" w:firstLine="640"/>
        <w:rPr>
          <w:rFonts w:ascii="Times New Roman" w:eastAsia="仿宋_GB2312"/>
          <w:sz w:val="32"/>
          <w:lang w:val="zh-CN" w:bidi="ar"/>
        </w:rPr>
      </w:pPr>
    </w:p>
    <w:p w14:paraId="0FC1FD1C">
      <w:pPr>
        <w:pStyle w:val="3"/>
        <w:spacing w:line="560" w:lineRule="exact"/>
        <w:ind w:left="0" w:leftChars="0" w:firstLine="0" w:firstLineChars="0"/>
        <w:rPr>
          <w:rFonts w:ascii="Times New Roman"/>
          <w:sz w:val="32"/>
          <w:highlight w:val="yellow"/>
          <w:lang w:val="zh-CN"/>
        </w:rPr>
      </w:pPr>
    </w:p>
    <w:p w14:paraId="5D5CCE70">
      <w:pPr>
        <w:pStyle w:val="8"/>
        <w:spacing w:before="93"/>
        <w:rPr>
          <w:rFonts w:ascii="Times New Roman" w:cs="宋体"/>
          <w:color w:val="FF0000"/>
          <w:sz w:val="32"/>
          <w:szCs w:val="32"/>
          <w:highlight w:val="yellow"/>
          <w:shd w:val="clear" w:color="auto" w:fill="FFFFFF"/>
          <w:lang w:val="zh-CN"/>
        </w:rPr>
      </w:pPr>
    </w:p>
    <w:p w14:paraId="7DABAA45">
      <w:pPr>
        <w:rPr>
          <w:rFonts w:eastAsia="黑体" w:cs="黑体"/>
          <w:kern w:val="0"/>
          <w:sz w:val="32"/>
          <w:szCs w:val="32"/>
          <w:shd w:val="clear" w:color="auto" w:fill="FFFFFF"/>
          <w:lang w:val="zh-CN"/>
        </w:rPr>
      </w:pPr>
      <w:r>
        <w:rPr>
          <w:rFonts w:hint="eastAsia" w:eastAsia="黑体" w:cs="黑体"/>
          <w:kern w:val="0"/>
          <w:sz w:val="32"/>
          <w:szCs w:val="32"/>
          <w:shd w:val="clear" w:color="auto" w:fill="FFFFFF"/>
          <w:lang w:val="zh-CN"/>
        </w:rPr>
        <w:br w:type="page"/>
      </w:r>
    </w:p>
    <w:p w14:paraId="5212ECB1">
      <w:pPr>
        <w:widowControl/>
        <w:jc w:val="center"/>
        <w:rPr>
          <w:rFonts w:eastAsia="仿宋"/>
        </w:rPr>
      </w:pPr>
      <w:bookmarkStart w:id="53" w:name="_Toc15396618"/>
      <w:r>
        <w:rPr>
          <w:rFonts w:hint="eastAsia" w:eastAsia="黑体"/>
          <w:sz w:val="44"/>
          <w:szCs w:val="44"/>
        </w:rPr>
        <w:t>第</w:t>
      </w:r>
      <w:r>
        <w:rPr>
          <w:rStyle w:val="28"/>
          <w:rFonts w:hint="eastAsia" w:eastAsia="黑体"/>
          <w:b w:val="0"/>
        </w:rPr>
        <w:t>五部分 附表</w:t>
      </w:r>
      <w:bookmarkEnd w:id="51"/>
      <w:bookmarkEnd w:id="53"/>
      <w:bookmarkStart w:id="54" w:name="_Toc15396619"/>
    </w:p>
    <w:p w14:paraId="206AED85">
      <w:pPr>
        <w:pStyle w:val="14"/>
        <w:adjustRightInd w:val="0"/>
        <w:snapToGrid w:val="0"/>
        <w:spacing w:line="560" w:lineRule="exact"/>
        <w:jc w:val="left"/>
        <w:rPr>
          <w:rFonts w:eastAsia="仿宋_GB2312" w:cs="仿宋_GB2312"/>
          <w:sz w:val="32"/>
          <w:szCs w:val="32"/>
        </w:rPr>
      </w:pPr>
    </w:p>
    <w:p w14:paraId="64F54E38">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54"/>
    </w:p>
    <w:p w14:paraId="49F1FC0D">
      <w:pPr>
        <w:pStyle w:val="14"/>
        <w:adjustRightInd w:val="0"/>
        <w:snapToGrid w:val="0"/>
        <w:spacing w:line="560" w:lineRule="exact"/>
        <w:jc w:val="left"/>
        <w:rPr>
          <w:rFonts w:eastAsia="仿宋_GB2312" w:cs="仿宋_GB2312"/>
          <w:sz w:val="32"/>
          <w:szCs w:val="32"/>
        </w:rPr>
      </w:pPr>
      <w:bookmarkStart w:id="55" w:name="_Toc15396620"/>
      <w:r>
        <w:rPr>
          <w:rFonts w:hint="eastAsia" w:eastAsia="仿宋_GB2312" w:cs="仿宋_GB2312"/>
          <w:sz w:val="32"/>
          <w:szCs w:val="32"/>
        </w:rPr>
        <w:t>二、收入决算表</w:t>
      </w:r>
      <w:bookmarkEnd w:id="55"/>
    </w:p>
    <w:p w14:paraId="6CB350F6">
      <w:pPr>
        <w:pStyle w:val="14"/>
        <w:adjustRightInd w:val="0"/>
        <w:snapToGrid w:val="0"/>
        <w:spacing w:line="560" w:lineRule="exact"/>
        <w:jc w:val="left"/>
        <w:rPr>
          <w:rFonts w:eastAsia="仿宋_GB2312" w:cs="仿宋_GB2312"/>
          <w:sz w:val="32"/>
          <w:szCs w:val="32"/>
        </w:rPr>
      </w:pPr>
      <w:bookmarkStart w:id="56" w:name="_Toc15396621"/>
      <w:r>
        <w:rPr>
          <w:rFonts w:hint="eastAsia" w:eastAsia="仿宋_GB2312" w:cs="仿宋_GB2312"/>
          <w:sz w:val="32"/>
          <w:szCs w:val="32"/>
        </w:rPr>
        <w:t>三、支出决算表</w:t>
      </w:r>
      <w:bookmarkEnd w:id="56"/>
    </w:p>
    <w:p w14:paraId="6187AB29">
      <w:pPr>
        <w:pStyle w:val="14"/>
        <w:adjustRightInd w:val="0"/>
        <w:snapToGrid w:val="0"/>
        <w:spacing w:line="560" w:lineRule="exact"/>
        <w:jc w:val="left"/>
        <w:rPr>
          <w:rFonts w:eastAsia="仿宋_GB2312" w:cs="仿宋_GB2312"/>
          <w:sz w:val="32"/>
          <w:szCs w:val="32"/>
        </w:rPr>
      </w:pPr>
      <w:bookmarkStart w:id="57" w:name="_Toc15396622"/>
      <w:r>
        <w:rPr>
          <w:rFonts w:hint="eastAsia" w:eastAsia="仿宋_GB2312" w:cs="仿宋_GB2312"/>
          <w:sz w:val="32"/>
          <w:szCs w:val="32"/>
        </w:rPr>
        <w:t>四、财政拨款收入支出决算总表</w:t>
      </w:r>
      <w:bookmarkEnd w:id="57"/>
    </w:p>
    <w:p w14:paraId="6A345284">
      <w:pPr>
        <w:pStyle w:val="14"/>
        <w:adjustRightInd w:val="0"/>
        <w:snapToGrid w:val="0"/>
        <w:spacing w:line="560" w:lineRule="exact"/>
        <w:jc w:val="left"/>
        <w:rPr>
          <w:rFonts w:eastAsia="仿宋_GB2312" w:cs="仿宋_GB2312"/>
          <w:sz w:val="32"/>
          <w:szCs w:val="32"/>
        </w:rPr>
      </w:pPr>
      <w:bookmarkStart w:id="58" w:name="_Toc15396623"/>
      <w:r>
        <w:rPr>
          <w:rFonts w:hint="eastAsia" w:eastAsia="仿宋_GB2312" w:cs="仿宋_GB2312"/>
          <w:sz w:val="32"/>
          <w:szCs w:val="32"/>
        </w:rPr>
        <w:t>五、财政拨款支出决算明细表</w:t>
      </w:r>
      <w:bookmarkEnd w:id="58"/>
      <w:bookmarkStart w:id="59" w:name="_Toc15396624"/>
    </w:p>
    <w:p w14:paraId="0DAAB58A">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59"/>
    </w:p>
    <w:p w14:paraId="5A2CBA82">
      <w:pPr>
        <w:pStyle w:val="14"/>
        <w:adjustRightInd w:val="0"/>
        <w:snapToGrid w:val="0"/>
        <w:spacing w:line="560" w:lineRule="exact"/>
        <w:jc w:val="left"/>
        <w:rPr>
          <w:rFonts w:eastAsia="仿宋_GB2312" w:cs="仿宋_GB2312"/>
          <w:sz w:val="32"/>
          <w:szCs w:val="32"/>
        </w:rPr>
      </w:pPr>
      <w:bookmarkStart w:id="60" w:name="_Toc15396625"/>
      <w:r>
        <w:rPr>
          <w:rFonts w:hint="eastAsia" w:eastAsia="仿宋_GB2312" w:cs="仿宋_GB2312"/>
          <w:sz w:val="32"/>
          <w:szCs w:val="32"/>
        </w:rPr>
        <w:t>七、一般公共预算财政拨款支出决算明细表</w:t>
      </w:r>
      <w:bookmarkEnd w:id="60"/>
    </w:p>
    <w:p w14:paraId="109EA1F3">
      <w:pPr>
        <w:pStyle w:val="14"/>
        <w:adjustRightInd w:val="0"/>
        <w:snapToGrid w:val="0"/>
        <w:spacing w:line="560" w:lineRule="exact"/>
        <w:jc w:val="left"/>
        <w:rPr>
          <w:rFonts w:eastAsia="仿宋_GB2312" w:cs="仿宋_GB2312"/>
          <w:sz w:val="32"/>
          <w:szCs w:val="32"/>
        </w:rPr>
      </w:pPr>
      <w:bookmarkStart w:id="61" w:name="_Toc15396626"/>
      <w:r>
        <w:rPr>
          <w:rFonts w:hint="eastAsia" w:eastAsia="仿宋_GB2312" w:cs="仿宋_GB2312"/>
          <w:sz w:val="32"/>
          <w:szCs w:val="32"/>
        </w:rPr>
        <w:t>八、一般公共预算财政拨款基本支出决算表</w:t>
      </w:r>
      <w:bookmarkEnd w:id="61"/>
    </w:p>
    <w:p w14:paraId="54E53966">
      <w:pPr>
        <w:pStyle w:val="14"/>
        <w:adjustRightInd w:val="0"/>
        <w:snapToGrid w:val="0"/>
        <w:spacing w:line="560" w:lineRule="exact"/>
        <w:jc w:val="left"/>
        <w:rPr>
          <w:rFonts w:eastAsia="仿宋_GB2312" w:cs="仿宋_GB2312"/>
          <w:sz w:val="32"/>
          <w:szCs w:val="32"/>
        </w:rPr>
      </w:pPr>
      <w:bookmarkStart w:id="62" w:name="_Toc15396627"/>
      <w:r>
        <w:rPr>
          <w:rFonts w:hint="eastAsia" w:eastAsia="仿宋_GB2312" w:cs="仿宋_GB2312"/>
          <w:sz w:val="32"/>
          <w:szCs w:val="32"/>
        </w:rPr>
        <w:t>九、一般公共预算财政拨款项目支出决算表</w:t>
      </w:r>
      <w:bookmarkEnd w:id="62"/>
    </w:p>
    <w:p w14:paraId="1B073CA7">
      <w:pPr>
        <w:pStyle w:val="14"/>
        <w:adjustRightInd w:val="0"/>
        <w:snapToGrid w:val="0"/>
        <w:spacing w:line="560" w:lineRule="exact"/>
        <w:jc w:val="left"/>
        <w:rPr>
          <w:rFonts w:eastAsia="仿宋_GB2312" w:cs="仿宋_GB2312"/>
          <w:sz w:val="32"/>
          <w:szCs w:val="32"/>
        </w:rPr>
      </w:pPr>
      <w:bookmarkStart w:id="63" w:name="_Toc15396628"/>
      <w:r>
        <w:rPr>
          <w:rFonts w:hint="eastAsia" w:eastAsia="仿宋_GB2312" w:cs="仿宋_GB2312"/>
          <w:sz w:val="32"/>
          <w:szCs w:val="32"/>
        </w:rPr>
        <w:t>十、</w:t>
      </w:r>
      <w:bookmarkEnd w:id="63"/>
      <w:r>
        <w:rPr>
          <w:rFonts w:hint="eastAsia" w:eastAsia="仿宋_GB2312" w:cs="仿宋_GB2312"/>
          <w:sz w:val="32"/>
          <w:szCs w:val="32"/>
        </w:rPr>
        <w:t>政府性基金预算财政拨款收入支出决算表</w:t>
      </w:r>
    </w:p>
    <w:p w14:paraId="0DE0F2DD">
      <w:pPr>
        <w:pStyle w:val="14"/>
        <w:adjustRightInd w:val="0"/>
        <w:snapToGrid w:val="0"/>
        <w:spacing w:line="560" w:lineRule="exact"/>
        <w:jc w:val="left"/>
        <w:rPr>
          <w:rFonts w:eastAsia="仿宋_GB2312" w:cs="仿宋_GB2312"/>
          <w:sz w:val="32"/>
          <w:szCs w:val="32"/>
        </w:rPr>
      </w:pPr>
      <w:bookmarkStart w:id="64" w:name="_Toc15396629"/>
      <w:r>
        <w:rPr>
          <w:rFonts w:hint="eastAsia" w:eastAsia="仿宋_GB2312" w:cs="仿宋_GB2312"/>
          <w:sz w:val="32"/>
          <w:szCs w:val="32"/>
        </w:rPr>
        <w:t>十一、</w:t>
      </w:r>
      <w:bookmarkEnd w:id="64"/>
      <w:r>
        <w:rPr>
          <w:rFonts w:hint="eastAsia" w:eastAsia="仿宋_GB2312" w:cs="仿宋_GB2312"/>
          <w:sz w:val="32"/>
          <w:szCs w:val="32"/>
        </w:rPr>
        <w:t>国有资本经营预算财政拨款收入支出决算表</w:t>
      </w:r>
    </w:p>
    <w:p w14:paraId="40E9D5D4">
      <w:pPr>
        <w:pStyle w:val="14"/>
        <w:adjustRightInd w:val="0"/>
        <w:snapToGrid w:val="0"/>
        <w:spacing w:line="560" w:lineRule="exact"/>
        <w:jc w:val="left"/>
        <w:rPr>
          <w:rFonts w:eastAsia="仿宋_GB2312" w:cs="仿宋_GB2312"/>
          <w:sz w:val="32"/>
          <w:szCs w:val="32"/>
        </w:rPr>
      </w:pPr>
      <w:bookmarkStart w:id="65" w:name="_Toc15396630"/>
      <w:r>
        <w:rPr>
          <w:rFonts w:hint="eastAsia" w:eastAsia="仿宋_GB2312" w:cs="仿宋_GB2312"/>
          <w:sz w:val="32"/>
          <w:szCs w:val="32"/>
        </w:rPr>
        <w:t>十二、</w:t>
      </w:r>
      <w:bookmarkEnd w:id="65"/>
      <w:r>
        <w:rPr>
          <w:rFonts w:hint="eastAsia" w:eastAsia="仿宋_GB2312" w:cs="仿宋_GB2312"/>
          <w:sz w:val="32"/>
          <w:szCs w:val="32"/>
        </w:rPr>
        <w:t>国有资本经营预算财政拨款支出决算表</w:t>
      </w:r>
    </w:p>
    <w:p w14:paraId="0AE80B3B">
      <w:pPr>
        <w:pStyle w:val="14"/>
        <w:adjustRightInd w:val="0"/>
        <w:snapToGrid w:val="0"/>
        <w:spacing w:line="560" w:lineRule="exact"/>
        <w:jc w:val="left"/>
        <w:rPr>
          <w:rFonts w:eastAsia="仿宋_GB2312" w:cs="仿宋_GB2312"/>
          <w:sz w:val="32"/>
          <w:szCs w:val="32"/>
        </w:rPr>
      </w:pPr>
      <w:bookmarkStart w:id="66" w:name="_Toc15396631"/>
      <w:r>
        <w:rPr>
          <w:rFonts w:hint="eastAsia" w:eastAsia="仿宋_GB2312" w:cs="仿宋_GB2312"/>
          <w:sz w:val="32"/>
          <w:szCs w:val="32"/>
        </w:rPr>
        <w:t>十三、</w:t>
      </w:r>
      <w:bookmarkEnd w:id="66"/>
      <w:r>
        <w:rPr>
          <w:rFonts w:hint="eastAsia" w:eastAsia="仿宋_GB2312" w:cs="仿宋_GB2312"/>
          <w:sz w:val="32"/>
          <w:szCs w:val="32"/>
        </w:rPr>
        <w:t>财政拨款“三公”经费支出决算表</w:t>
      </w:r>
    </w:p>
    <w:p w14:paraId="00464D86"/>
    <w:sectPr>
      <w:footerReference r:id="rId9" w:type="first"/>
      <w:footerReference r:id="rId8"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variable"/>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C13D4">
    <w:pPr>
      <w:pStyle w:val="11"/>
      <w:jc w:val="center"/>
    </w:pPr>
  </w:p>
  <w:p w14:paraId="4AD0CF5C">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F79F4">
    <w:pPr>
      <w:pStyle w:val="11"/>
      <w:jc w:val="center"/>
    </w:pPr>
  </w:p>
  <w:p w14:paraId="62BCFA4E">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F5E32">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4664E">
    <w:pPr>
      <w:pStyle w:val="11"/>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41E5D3">
                          <w:pPr>
                            <w:pStyle w:val="11"/>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- 6 -</w:t>
                          </w:r>
                          <w:r>
                            <w:rPr>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141E5D3">
                    <w:pPr>
                      <w:pStyle w:val="11"/>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- 6 -</w:t>
                    </w:r>
                    <w:r>
                      <w:rPr>
                        <w:sz w:val="24"/>
                        <w:szCs w:val="24"/>
                      </w:rPr>
                      <w:fldChar w:fldCharType="end"/>
                    </w:r>
                  </w:p>
                </w:txbxContent>
              </v:textbox>
            </v:shape>
          </w:pict>
        </mc:Fallback>
      </mc:AlternateContent>
    </w:r>
  </w:p>
  <w:p w14:paraId="5701A5C1">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FBFBA">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DEC0CC">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5DDEC0CC">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97935">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6C231">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69EBCF"/>
    <w:multiLevelType w:val="singleLevel"/>
    <w:tmpl w:val="5869EBC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272AA"/>
    <w:rsid w:val="000468DB"/>
    <w:rsid w:val="0006487A"/>
    <w:rsid w:val="00065F8F"/>
    <w:rsid w:val="00070A43"/>
    <w:rsid w:val="00072797"/>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1ADD"/>
    <w:rsid w:val="00163351"/>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66425"/>
    <w:rsid w:val="0037013F"/>
    <w:rsid w:val="00380C92"/>
    <w:rsid w:val="003A167B"/>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75C6A"/>
    <w:rsid w:val="0058486E"/>
    <w:rsid w:val="00585B33"/>
    <w:rsid w:val="0059014D"/>
    <w:rsid w:val="005B5C64"/>
    <w:rsid w:val="005C5337"/>
    <w:rsid w:val="005C6BD0"/>
    <w:rsid w:val="005D1C8B"/>
    <w:rsid w:val="005D468D"/>
    <w:rsid w:val="005D5CED"/>
    <w:rsid w:val="005F1A4C"/>
    <w:rsid w:val="005F6463"/>
    <w:rsid w:val="00605688"/>
    <w:rsid w:val="006070AF"/>
    <w:rsid w:val="00607E6C"/>
    <w:rsid w:val="006101B1"/>
    <w:rsid w:val="00614E44"/>
    <w:rsid w:val="00621ED6"/>
    <w:rsid w:val="0062270A"/>
    <w:rsid w:val="00622830"/>
    <w:rsid w:val="00623DA0"/>
    <w:rsid w:val="00630AEF"/>
    <w:rsid w:val="006325F8"/>
    <w:rsid w:val="00633463"/>
    <w:rsid w:val="00634C9A"/>
    <w:rsid w:val="0063741F"/>
    <w:rsid w:val="006440E4"/>
    <w:rsid w:val="0066343B"/>
    <w:rsid w:val="00664777"/>
    <w:rsid w:val="006748A4"/>
    <w:rsid w:val="00681A31"/>
    <w:rsid w:val="00683E73"/>
    <w:rsid w:val="006A3141"/>
    <w:rsid w:val="006A5E34"/>
    <w:rsid w:val="006B2422"/>
    <w:rsid w:val="006B2B9A"/>
    <w:rsid w:val="006C1937"/>
    <w:rsid w:val="006F020C"/>
    <w:rsid w:val="00705524"/>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87D95"/>
    <w:rsid w:val="009931C3"/>
    <w:rsid w:val="009A1776"/>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5EA2"/>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D1F0F"/>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43BF5"/>
    <w:rsid w:val="00D46F42"/>
    <w:rsid w:val="00D51247"/>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2317B1B"/>
    <w:rsid w:val="02B06755"/>
    <w:rsid w:val="02FEBE30"/>
    <w:rsid w:val="061E35DE"/>
    <w:rsid w:val="066E0107"/>
    <w:rsid w:val="07996F6E"/>
    <w:rsid w:val="07DFD8BA"/>
    <w:rsid w:val="08DB07E4"/>
    <w:rsid w:val="09867E8F"/>
    <w:rsid w:val="0A2032A3"/>
    <w:rsid w:val="0AA11023"/>
    <w:rsid w:val="0C6C4794"/>
    <w:rsid w:val="0CA8290A"/>
    <w:rsid w:val="0D35B1ED"/>
    <w:rsid w:val="0DE07E2B"/>
    <w:rsid w:val="0F98263C"/>
    <w:rsid w:val="101860EC"/>
    <w:rsid w:val="10C055FF"/>
    <w:rsid w:val="11772AA4"/>
    <w:rsid w:val="118107EC"/>
    <w:rsid w:val="135B3189"/>
    <w:rsid w:val="13D50BC4"/>
    <w:rsid w:val="14022904"/>
    <w:rsid w:val="152F2A07"/>
    <w:rsid w:val="165E0673"/>
    <w:rsid w:val="16BB723D"/>
    <w:rsid w:val="186504BB"/>
    <w:rsid w:val="1938089F"/>
    <w:rsid w:val="19A445FC"/>
    <w:rsid w:val="1B214753"/>
    <w:rsid w:val="1B7D550C"/>
    <w:rsid w:val="1BE8440E"/>
    <w:rsid w:val="1D155CEE"/>
    <w:rsid w:val="1E740ACF"/>
    <w:rsid w:val="1FF35744"/>
    <w:rsid w:val="1FF6BC77"/>
    <w:rsid w:val="213A031C"/>
    <w:rsid w:val="21962A9E"/>
    <w:rsid w:val="21AE7C77"/>
    <w:rsid w:val="22BC3C41"/>
    <w:rsid w:val="237F7061"/>
    <w:rsid w:val="23860B96"/>
    <w:rsid w:val="240371BF"/>
    <w:rsid w:val="255F26C4"/>
    <w:rsid w:val="260F557C"/>
    <w:rsid w:val="281408E2"/>
    <w:rsid w:val="29FC0A24"/>
    <w:rsid w:val="29FD04D3"/>
    <w:rsid w:val="2BFF7BC6"/>
    <w:rsid w:val="2C8A61B5"/>
    <w:rsid w:val="2D2E01CF"/>
    <w:rsid w:val="2DF04E50"/>
    <w:rsid w:val="2E9545B0"/>
    <w:rsid w:val="2F040D46"/>
    <w:rsid w:val="2FAE5751"/>
    <w:rsid w:val="2FB1A395"/>
    <w:rsid w:val="2FD9A7D8"/>
    <w:rsid w:val="319F7F4E"/>
    <w:rsid w:val="321B2544"/>
    <w:rsid w:val="3304709D"/>
    <w:rsid w:val="34281836"/>
    <w:rsid w:val="349D6851"/>
    <w:rsid w:val="35BA6CAF"/>
    <w:rsid w:val="364D14C1"/>
    <w:rsid w:val="36AA5135"/>
    <w:rsid w:val="36BE0DA7"/>
    <w:rsid w:val="376B6AA6"/>
    <w:rsid w:val="376D39B2"/>
    <w:rsid w:val="37C87FD8"/>
    <w:rsid w:val="37E16F03"/>
    <w:rsid w:val="37F53A3B"/>
    <w:rsid w:val="389B6C89"/>
    <w:rsid w:val="38D469F0"/>
    <w:rsid w:val="38F53485"/>
    <w:rsid w:val="39627CCD"/>
    <w:rsid w:val="397BAF1F"/>
    <w:rsid w:val="3AB79AF3"/>
    <w:rsid w:val="3B7EF35A"/>
    <w:rsid w:val="3B9FDB6C"/>
    <w:rsid w:val="3BF5BC2F"/>
    <w:rsid w:val="3CEBA265"/>
    <w:rsid w:val="3D98207C"/>
    <w:rsid w:val="3D9B0D99"/>
    <w:rsid w:val="3DEE7CF3"/>
    <w:rsid w:val="3DF02244"/>
    <w:rsid w:val="3E78745D"/>
    <w:rsid w:val="3FF4CAE0"/>
    <w:rsid w:val="3FF7B227"/>
    <w:rsid w:val="40E54C45"/>
    <w:rsid w:val="43A407DF"/>
    <w:rsid w:val="44515BEA"/>
    <w:rsid w:val="44E268DA"/>
    <w:rsid w:val="453F7E5B"/>
    <w:rsid w:val="4561321B"/>
    <w:rsid w:val="486A6C7A"/>
    <w:rsid w:val="49176D9B"/>
    <w:rsid w:val="4A3C4F29"/>
    <w:rsid w:val="4A627F82"/>
    <w:rsid w:val="4B0E749A"/>
    <w:rsid w:val="4B4F25DA"/>
    <w:rsid w:val="4BDA0CFB"/>
    <w:rsid w:val="4BE068DB"/>
    <w:rsid w:val="4D3C0CCC"/>
    <w:rsid w:val="4D577224"/>
    <w:rsid w:val="4DBF1CEB"/>
    <w:rsid w:val="4EAB630A"/>
    <w:rsid w:val="4ECE2238"/>
    <w:rsid w:val="4F833267"/>
    <w:rsid w:val="4FE9BD67"/>
    <w:rsid w:val="4FFB052F"/>
    <w:rsid w:val="53083A92"/>
    <w:rsid w:val="537E6D0A"/>
    <w:rsid w:val="53AF27A2"/>
    <w:rsid w:val="53F74C96"/>
    <w:rsid w:val="56E47B74"/>
    <w:rsid w:val="56FD2031"/>
    <w:rsid w:val="57BD3DD4"/>
    <w:rsid w:val="5AF92295"/>
    <w:rsid w:val="5BDD79E6"/>
    <w:rsid w:val="5BF561CA"/>
    <w:rsid w:val="5BFF5DFC"/>
    <w:rsid w:val="5CD71FC4"/>
    <w:rsid w:val="5D1F11B5"/>
    <w:rsid w:val="5DAE1B18"/>
    <w:rsid w:val="5DE7D9E5"/>
    <w:rsid w:val="5ECEC941"/>
    <w:rsid w:val="5F493CB7"/>
    <w:rsid w:val="5FBF9FF3"/>
    <w:rsid w:val="5FCD4E2C"/>
    <w:rsid w:val="5FD15F49"/>
    <w:rsid w:val="5FEF394A"/>
    <w:rsid w:val="5FF67715"/>
    <w:rsid w:val="62BF3928"/>
    <w:rsid w:val="647F5392"/>
    <w:rsid w:val="664B1D71"/>
    <w:rsid w:val="67AA3209"/>
    <w:rsid w:val="681C4F0D"/>
    <w:rsid w:val="69046D0F"/>
    <w:rsid w:val="698D0931"/>
    <w:rsid w:val="6A993CED"/>
    <w:rsid w:val="6B053271"/>
    <w:rsid w:val="6BCE6674"/>
    <w:rsid w:val="6BDE08EF"/>
    <w:rsid w:val="6C4A05C8"/>
    <w:rsid w:val="6C8742B8"/>
    <w:rsid w:val="6C8A170F"/>
    <w:rsid w:val="6CB54609"/>
    <w:rsid w:val="6DBF5E93"/>
    <w:rsid w:val="6DFF077E"/>
    <w:rsid w:val="6E7E3605"/>
    <w:rsid w:val="6E7FDCC7"/>
    <w:rsid w:val="6ED6A62E"/>
    <w:rsid w:val="6EE00B15"/>
    <w:rsid w:val="6F544B20"/>
    <w:rsid w:val="6F6FB3EB"/>
    <w:rsid w:val="6F784160"/>
    <w:rsid w:val="6F8731EA"/>
    <w:rsid w:val="6FCE6052"/>
    <w:rsid w:val="6FD57C00"/>
    <w:rsid w:val="6FEFFFD8"/>
    <w:rsid w:val="6FF5CC65"/>
    <w:rsid w:val="6FFB47EC"/>
    <w:rsid w:val="6FFF034A"/>
    <w:rsid w:val="70496804"/>
    <w:rsid w:val="712A28F1"/>
    <w:rsid w:val="715C0E4B"/>
    <w:rsid w:val="72233669"/>
    <w:rsid w:val="72734D90"/>
    <w:rsid w:val="7332FE48"/>
    <w:rsid w:val="73AB61DA"/>
    <w:rsid w:val="73AD73D5"/>
    <w:rsid w:val="73B6EB34"/>
    <w:rsid w:val="73FA497D"/>
    <w:rsid w:val="744731E5"/>
    <w:rsid w:val="74527205"/>
    <w:rsid w:val="74BBD01D"/>
    <w:rsid w:val="74ED5379"/>
    <w:rsid w:val="74FC2395"/>
    <w:rsid w:val="75DEEEC2"/>
    <w:rsid w:val="76E3355F"/>
    <w:rsid w:val="76FF5125"/>
    <w:rsid w:val="776F6FFA"/>
    <w:rsid w:val="778769C8"/>
    <w:rsid w:val="77DC22F5"/>
    <w:rsid w:val="79086DAD"/>
    <w:rsid w:val="79974F09"/>
    <w:rsid w:val="79D7FD79"/>
    <w:rsid w:val="79EE5BA4"/>
    <w:rsid w:val="7A894339"/>
    <w:rsid w:val="7AFF7572"/>
    <w:rsid w:val="7B6C7DFB"/>
    <w:rsid w:val="7BBFBED0"/>
    <w:rsid w:val="7BC3E394"/>
    <w:rsid w:val="7C1F3737"/>
    <w:rsid w:val="7CBFC87B"/>
    <w:rsid w:val="7CFE0F48"/>
    <w:rsid w:val="7D7EC23E"/>
    <w:rsid w:val="7D916348"/>
    <w:rsid w:val="7E8ADEBF"/>
    <w:rsid w:val="7EEF11D3"/>
    <w:rsid w:val="7F0971A6"/>
    <w:rsid w:val="7F3F679B"/>
    <w:rsid w:val="7F4FC4EF"/>
    <w:rsid w:val="7F5E4D54"/>
    <w:rsid w:val="7F6A761D"/>
    <w:rsid w:val="7F6E0135"/>
    <w:rsid w:val="7FA30C79"/>
    <w:rsid w:val="7FAF8ABF"/>
    <w:rsid w:val="7FB7269E"/>
    <w:rsid w:val="7FC96657"/>
    <w:rsid w:val="7FDA9588"/>
    <w:rsid w:val="7FDF220F"/>
    <w:rsid w:val="7FEDC5F7"/>
    <w:rsid w:val="7FEDD9DE"/>
    <w:rsid w:val="7FF5890D"/>
    <w:rsid w:val="7FF93490"/>
    <w:rsid w:val="99FF2014"/>
    <w:rsid w:val="A6DD0D7F"/>
    <w:rsid w:val="ADC6F725"/>
    <w:rsid w:val="B7CF06AB"/>
    <w:rsid w:val="B7CFA926"/>
    <w:rsid w:val="B7F8786B"/>
    <w:rsid w:val="BABB6AA1"/>
    <w:rsid w:val="BB2F4199"/>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FFA9E8"/>
    <w:rsid w:val="E5F4E9DC"/>
    <w:rsid w:val="E70FE695"/>
    <w:rsid w:val="ECFED1BC"/>
    <w:rsid w:val="ED1D69BB"/>
    <w:rsid w:val="ED7FD312"/>
    <w:rsid w:val="EF53993F"/>
    <w:rsid w:val="EF6FD633"/>
    <w:rsid w:val="EFBFB2F4"/>
    <w:rsid w:val="EFBFFA21"/>
    <w:rsid w:val="F2BEBCB8"/>
    <w:rsid w:val="F36FB518"/>
    <w:rsid w:val="F3DE1A04"/>
    <w:rsid w:val="F3F722E5"/>
    <w:rsid w:val="FA5F1E70"/>
    <w:rsid w:val="FA5FDB97"/>
    <w:rsid w:val="FB7F486A"/>
    <w:rsid w:val="FBFF5B2E"/>
    <w:rsid w:val="FD7FFE2B"/>
    <w:rsid w:val="FDEE196B"/>
    <w:rsid w:val="FDFE6575"/>
    <w:rsid w:val="FEDFDDC2"/>
    <w:rsid w:val="FEED32F6"/>
    <w:rsid w:val="FEF781DD"/>
    <w:rsid w:val="FF3F7E3F"/>
    <w:rsid w:val="FFBA12D7"/>
    <w:rsid w:val="FFDFFAEE"/>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link w:val="35"/>
    <w:unhideWhenUsed/>
    <w:qFormat/>
    <w:uiPriority w:val="99"/>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8">
    <w:name w:val="Body Text"/>
    <w:basedOn w:val="1"/>
    <w:link w:val="25"/>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semiHidden/>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2"/>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1"/>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8"/>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5"/>
    <w:qFormat/>
    <w:uiPriority w:val="9"/>
    <w:rPr>
      <w:rFonts w:ascii="Times New Roman" w:hAnsi="Times New Roman"/>
      <w:b/>
      <w:bCs/>
      <w:kern w:val="44"/>
      <w:sz w:val="44"/>
      <w:szCs w:val="44"/>
    </w:rPr>
  </w:style>
  <w:style w:type="character" w:customStyle="1" w:styleId="29">
    <w:name w:val="标题 2 Char"/>
    <w:basedOn w:val="16"/>
    <w:link w:val="6"/>
    <w:qFormat/>
    <w:uiPriority w:val="9"/>
    <w:rPr>
      <w:rFonts w:asciiTheme="majorHAnsi" w:hAnsiTheme="majorHAnsi" w:eastAsiaTheme="majorEastAsia" w:cstheme="majorBidi"/>
      <w:b/>
      <w:bCs/>
      <w:kern w:val="2"/>
      <w:sz w:val="32"/>
      <w:szCs w:val="32"/>
    </w:rPr>
  </w:style>
  <w:style w:type="paragraph" w:customStyle="1" w:styleId="30">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10"/>
    <w:semiHidden/>
    <w:qFormat/>
    <w:uiPriority w:val="99"/>
    <w:rPr>
      <w:rFonts w:ascii="Times New Roman" w:hAnsi="Times New Roman"/>
      <w:kern w:val="2"/>
      <w:sz w:val="18"/>
      <w:szCs w:val="18"/>
    </w:rPr>
  </w:style>
  <w:style w:type="character" w:customStyle="1" w:styleId="32">
    <w:name w:val="标题 3 Char"/>
    <w:basedOn w:val="16"/>
    <w:link w:val="7"/>
    <w:qFormat/>
    <w:uiPriority w:val="9"/>
    <w:rPr>
      <w:rFonts w:ascii="Times New Roman" w:hAnsi="Times New Roman"/>
      <w:b/>
      <w:bCs/>
      <w:kern w:val="2"/>
      <w:sz w:val="32"/>
      <w:szCs w:val="32"/>
    </w:rPr>
  </w:style>
  <w:style w:type="paragraph" w:customStyle="1" w:styleId="33">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 w:type="character" w:customStyle="1" w:styleId="35">
    <w:name w:val="正文首行缩进 2 Char"/>
    <w:basedOn w:val="16"/>
    <w:link w:val="3"/>
    <w:qFormat/>
    <w:uiPriority w:val="99"/>
    <w:rPr>
      <w:rFonts w:ascii="仿宋_GB2312"/>
      <w:kern w:val="2"/>
      <w:sz w:val="21"/>
      <w:szCs w:val="32"/>
    </w:rPr>
  </w:style>
  <w:style w:type="character" w:customStyle="1" w:styleId="36">
    <w:name w:val="15"/>
    <w:basedOn w:val="16"/>
    <w:qFormat/>
    <w:uiPriority w:val="0"/>
    <w:rPr>
      <w:rFonts w:hint="default" w:ascii="Calibri" w:hAnsi="Calibri" w:cs="Calibri"/>
      <w:b/>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chart" Target="charts/chart7.xml"/><Relationship Id="rId16" Type="http://schemas.openxmlformats.org/officeDocument/2006/relationships/chart" Target="charts/chart6.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theme" Target="theme/theme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themeOverride" Target="../theme/themeOverrid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4" Type="http://schemas.microsoft.com/office/2011/relationships/chartColorStyle" Target="colors3.xml"/><Relationship Id="rId3" Type="http://schemas.microsoft.com/office/2011/relationships/chartStyle" Target="style3.xml"/><Relationship Id="rId2" Type="http://schemas.openxmlformats.org/officeDocument/2006/relationships/themeOverride" Target="../theme/themeOverrid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5" Type="http://schemas.microsoft.com/office/2011/relationships/chartColorStyle" Target="colors4.xml"/><Relationship Id="rId4" Type="http://schemas.microsoft.com/office/2011/relationships/chartStyle" Target="style4.xml"/><Relationship Id="rId3" Type="http://schemas.openxmlformats.org/officeDocument/2006/relationships/image" Target="../media/image1.png"/><Relationship Id="rId2" Type="http://schemas.openxmlformats.org/officeDocument/2006/relationships/themeOverride" Target="../theme/themeOverrid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4" Type="http://schemas.microsoft.com/office/2011/relationships/chartColorStyle" Target="colors5.xml"/><Relationship Id="rId3" Type="http://schemas.microsoft.com/office/2011/relationships/chartStyle" Target="style5.xml"/><Relationship Id="rId2" Type="http://schemas.openxmlformats.org/officeDocument/2006/relationships/themeOverride" Target="../theme/themeOverrid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4" Type="http://schemas.microsoft.com/office/2011/relationships/chartColorStyle" Target="colors6.xml"/><Relationship Id="rId3" Type="http://schemas.microsoft.com/office/2011/relationships/chartStyle" Target="style6.xml"/><Relationship Id="rId2" Type="http://schemas.openxmlformats.org/officeDocument/2006/relationships/themeOverride" Target="../theme/themeOverrid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r>
              <a:rPr lang="zh-CN" altLang="en-US"/>
              <a:t>图</a:t>
            </a:r>
            <a:r>
              <a:rPr lang="en-US" altLang="zh-CN"/>
              <a:t>1</a:t>
            </a:r>
            <a:r>
              <a:rPr lang="zh-CN" altLang="en-US"/>
              <a:t>：收入、支出决算总计变动情况图</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2024年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596.53</c:v>
                </c:pt>
                <c:pt idx="1">
                  <c:v>596.53</c:v>
                </c:pt>
              </c:numCache>
            </c:numRef>
          </c:val>
        </c:ser>
        <c:ser>
          <c:idx val="1"/>
          <c:order val="1"/>
          <c:tx>
            <c:strRef>
              <c:f>Sheet1!$C$1</c:f>
              <c:strCache>
                <c:ptCount val="1"/>
                <c:pt idx="0">
                  <c:v>2025年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472.59</c:v>
                </c:pt>
                <c:pt idx="1">
                  <c:v>472.59</c:v>
                </c:pt>
              </c:numCache>
            </c:numRef>
          </c:val>
        </c:ser>
        <c:dLbls>
          <c:showLegendKey val="0"/>
          <c:showVal val="1"/>
          <c:showCatName val="0"/>
          <c:showSerName val="0"/>
          <c:showPercent val="0"/>
          <c:showBubbleSize val="0"/>
        </c:dLbls>
        <c:gapWidth val="260"/>
        <c:overlap val="-32"/>
        <c:axId val="372188672"/>
        <c:axId val="372190208"/>
      </c:barChart>
      <c:catAx>
        <c:axId val="372188672"/>
        <c:scaling>
          <c:orientation val="minMax"/>
        </c:scaling>
        <c:delete val="0"/>
        <c:axPos val="b"/>
        <c:numFmt formatCode="General" sourceLinked="1"/>
        <c:majorTickMark val="out"/>
        <c:minorTickMark val="none"/>
        <c:tickLblPos val="nextTo"/>
        <c:spPr>
          <a:noFill/>
          <a:ln w="6350" cap="flat" cmpd="sng" algn="ctr">
            <a:solidFill>
              <a:schemeClr val="accent1">
                <a:alpha val="2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372190208"/>
        <c:crosses val="autoZero"/>
        <c:auto val="1"/>
        <c:lblAlgn val="ctr"/>
        <c:lblOffset val="100"/>
        <c:noMultiLvlLbl val="0"/>
      </c:catAx>
      <c:valAx>
        <c:axId val="372190208"/>
        <c:scaling>
          <c:orientation val="minMax"/>
        </c:scaling>
        <c:delete val="1"/>
        <c:axPos val="l"/>
        <c:majorGridlines>
          <c:spPr>
            <a:ln w="6350" cap="flat" cmpd="sng" algn="ctr">
              <a:solidFill>
                <a:schemeClr val="tx1">
                  <a:lumMod val="50000"/>
                  <a:lumOff val="50000"/>
                  <a:alpha val="25000"/>
                </a:schemeClr>
              </a:solidFill>
              <a:round/>
            </a:ln>
            <a:effectLst/>
          </c:spPr>
        </c:majorGridlines>
        <c:numFmt formatCode="General" sourceLinked="1"/>
        <c:majorTickMark val="out"/>
        <c:minorTickMark val="none"/>
        <c:tickLblPos val="nextTo"/>
        <c:txPr>
          <a:bodyPr rot="-60000000" spcFirstLastPara="0" vertOverflow="ellipsis" vert="horz" wrap="square" anchor="ctr" anchorCtr="1"/>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372188672"/>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legend>
    <c:plotVisOnly val="1"/>
    <c:dispBlanksAs val="gap"/>
    <c:showDLblsOverMax val="0"/>
    <c:extLst>
      <c:ext uri="{0b15fc19-7d7d-44ad-8c2d-2c3a37ce22c3}">
        <chartProps xmlns="https://web.wps.cn/et/2018/main" chartId="{775cbbf1-949a-41f6-9c8c-d610ef59df57}"/>
      </c:ext>
    </c:extLst>
  </c:chart>
  <c:spPr>
    <a:solidFill>
      <a:schemeClr val="bg1"/>
    </a:solidFill>
    <a:ln w="6350" cap="flat" cmpd="sng" algn="ctr">
      <a:solidFill>
        <a:schemeClr val="tx1">
          <a:lumMod val="50000"/>
          <a:lumOff val="50000"/>
          <a:alpha val="25000"/>
        </a:schemeClr>
      </a:solidFill>
      <a:round/>
    </a:ln>
    <a:effectLst/>
  </c:spPr>
  <c:txPr>
    <a:bodyPr/>
    <a:lstStyle/>
    <a:p>
      <a:pPr>
        <a:defRPr lang="zh-CN" sz="90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r>
              <a:rPr lang="zh-CN" altLang="en-US"/>
              <a:t>图</a:t>
            </a:r>
            <a:r>
              <a:rPr lang="en-US" altLang="zh-CN"/>
              <a:t>2</a:t>
            </a:r>
            <a:r>
              <a:rPr lang="zh-CN" altLang="en-US"/>
              <a:t>：收入决算结构图</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列2</c:v>
                </c:pt>
              </c:strCache>
            </c:strRef>
          </c:tx>
          <c:spPr/>
          <c:explosion val="0"/>
          <c:dPt>
            <c:idx val="0"/>
            <c:bubble3D val="0"/>
            <c:spPr>
              <a:solidFill>
                <a:schemeClr val="accent1"/>
              </a:solidFill>
              <a:ln>
                <a:solidFill>
                  <a:schemeClr val="bg1"/>
                </a:solidFill>
              </a:ln>
              <a:effectLst/>
            </c:spPr>
          </c:dPt>
          <c:dLbls>
            <c:dLbl>
              <c:idx val="0"/>
              <c:layout>
                <c:manualLayout>
                  <c:x val="-0.00869775308045422"/>
                  <c:y val="-0.205694857628559"/>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outEnd"/>
            <c:showLegendKey val="0"/>
            <c:showVal val="1"/>
            <c:showCatName val="1"/>
            <c:showSerName val="0"/>
            <c:showPercent val="0"/>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Sheet1!$B$2</c:f>
              <c:numCache>
                <c:formatCode>0%</c:formatCode>
                <c:ptCount val="1"/>
                <c:pt idx="0">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1988388969521"/>
          <c:y val="0.480287693127331"/>
          <c:w val="0.362699564586357"/>
          <c:h val="0.150239744272776"/>
        </c:manualLayou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legend>
    <c:plotVisOnly val="1"/>
    <c:dispBlanksAs val="gap"/>
    <c:showDLblsOverMax val="0"/>
    <c:extLst>
      <c:ext uri="{0b15fc19-7d7d-44ad-8c2d-2c3a37ce22c3}">
        <chartProps xmlns="https://web.wps.cn/et/2018/main" chartId="{6e46c6ee-b251-4c40-a96e-fbbf40bada91}"/>
      </c:ext>
    </c:extLst>
  </c:chart>
  <c:spPr>
    <a:solidFill>
      <a:schemeClr val="bg1"/>
    </a:solidFill>
    <a:ln w="6350" cap="flat" cmpd="sng" algn="ctr">
      <a:solidFill>
        <a:schemeClr val="tx1">
          <a:lumMod val="50000"/>
          <a:lumOff val="50000"/>
          <a:alpha val="25000"/>
        </a:schemeClr>
      </a:solidFill>
      <a:round/>
    </a:ln>
    <a:effectLst/>
  </c:spPr>
  <c:txPr>
    <a:bodyPr/>
    <a:lstStyle/>
    <a:p>
      <a:pPr>
        <a:defRPr lang="zh-CN">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spc="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r>
              <a:rPr lang="zh-CN" altLang="en-US"/>
              <a:t>图</a:t>
            </a:r>
            <a:r>
              <a:rPr lang="en-US" altLang="zh-CN"/>
              <a:t>3</a:t>
            </a:r>
            <a:r>
              <a:rPr lang="zh-CN" altLang="en-US"/>
              <a:t>：支出决算结构图</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列2</c:v>
                </c:pt>
              </c:strCache>
            </c:strRef>
          </c:tx>
          <c:spPr>
            <a:solidFill>
              <a:schemeClr val="accent1"/>
            </a:solidFill>
            <a:ln w="50800" cap="rnd">
              <a:solidFill>
                <a:schemeClr val="lt1"/>
              </a:solidFill>
              <a:prstDash val="sysDot"/>
              <a:round/>
            </a:ln>
            <a:effectLst>
              <a:innerShdw>
                <a:prstClr val="black">
                  <a:alpha val="100000"/>
                </a:prstClr>
              </a:innerShdw>
            </a:effectLst>
          </c:spPr>
          <c:explosion val="5"/>
          <c:dPt>
            <c:idx val="0"/>
            <c:bubble3D val="0"/>
            <c:spPr>
              <a:solidFill>
                <a:schemeClr val="accent1"/>
              </a:solidFill>
              <a:ln w="50800" cap="rnd">
                <a:solidFill>
                  <a:schemeClr val="lt1"/>
                </a:solidFill>
                <a:prstDash val="sysDot"/>
                <a:round/>
              </a:ln>
              <a:effectLst>
                <a:innerShdw>
                  <a:prstClr val="black">
                    <a:alpha val="100000"/>
                  </a:prstClr>
                </a:innerShdw>
              </a:effectLst>
            </c:spPr>
          </c:dPt>
          <c:dPt>
            <c:idx val="1"/>
            <c:bubble3D val="0"/>
            <c:spPr>
              <a:solidFill>
                <a:schemeClr val="accent2"/>
              </a:solidFill>
              <a:ln w="50800" cap="rnd">
                <a:solidFill>
                  <a:schemeClr val="lt1"/>
                </a:solidFill>
                <a:prstDash val="sysDot"/>
                <a:round/>
              </a:ln>
              <a:effectLst>
                <a:innerShdw>
                  <a:prstClr val="black">
                    <a:alpha val="100000"/>
                  </a:prstClr>
                </a:innerShdw>
              </a:effectLst>
            </c:spPr>
          </c:dPt>
          <c:dLbls>
            <c:dLbl>
              <c:idx val="0"/>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r>
                      <a:rPr lang="zh-CN" altLang="en-US"/>
                      <a:t>基本支出</a:t>
                    </a:r>
                    <a:r>
                      <a:rPr lang="en-US" altLang="zh-CN"/>
                      <a:t>39.10%</a:t>
                    </a:r>
                    <a:endParaRPr lang="en-US" altLang="zh-CN"/>
                  </a:p>
                </c:rich>
              </c:tx>
              <c:dLblPos val="inEnd"/>
              <c:showLegendKey val="0"/>
              <c:showVal val="1"/>
              <c:showCatName val="0"/>
              <c:showSerName val="0"/>
              <c:showPercent val="0"/>
              <c:showBubbleSize val="0"/>
              <c:extLst>
                <c:ext xmlns:c15="http://schemas.microsoft.com/office/drawing/2012/chart" uri="{CE6537A1-D6FC-4f65-9D91-7224C49458BB}">
                  <c15:layout>
                    <c:manualLayout>
                      <c:w val="0.145566561971491"/>
                      <c:h val="0.116659583510412"/>
                    </c:manualLayout>
                  </c15:layout>
                </c:ext>
              </c:extLst>
            </c:dLbl>
            <c:dLbl>
              <c:idx val="1"/>
              <c:layout>
                <c:manualLayout>
                  <c:x val="0.17918132470534"/>
                  <c:y val="-0.0575388757316838"/>
                </c:manualLayout>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r>
                      <a:rPr lang="zh-CN" altLang="en-US"/>
                      <a:t>项目支出</a:t>
                    </a:r>
                    <a:r>
                      <a:rPr lang="en-US" altLang="zh-CN"/>
                      <a:t>60.90%</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manualLayout>
                      <c:w val="0.165015704276395"/>
                      <c:h val="0.134296642583935"/>
                    </c:manualLayout>
                  </c15:layout>
                </c:ext>
              </c:extLst>
            </c:dLbl>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0.00%</c:formatCode>
                <c:ptCount val="2"/>
                <c:pt idx="0">
                  <c:v>0.391</c:v>
                </c:pt>
                <c:pt idx="1">
                  <c:v>0.609</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bc7b7273-17c7-4b4d-b632-9cf112836922}"/>
      </c:ext>
    </c:extLst>
  </c:chart>
  <c:spPr>
    <a:solidFill>
      <a:schemeClr val="bg1"/>
    </a:solidFill>
    <a:ln w="6350" cap="flat" cmpd="sng" algn="ctr">
      <a:solidFill>
        <a:schemeClr val="tx1">
          <a:lumMod val="50000"/>
          <a:lumOff val="50000"/>
          <a:alpha val="25000"/>
        </a:schemeClr>
      </a:solidFill>
      <a:round/>
    </a:ln>
    <a:effectLst>
      <a:outerShdw blurRad="63500" dist="37357" dir="2700000" sx="0" sy="0" rotWithShape="0">
        <a:scrgbClr r="0" g="0" b="0"/>
      </a:outerShdw>
    </a:effectLst>
  </c:spPr>
  <c:txPr>
    <a:bodyPr/>
    <a:lstStyle/>
    <a:p>
      <a:pPr>
        <a:defRPr lang="zh-CN">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spc="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r>
              <a:rPr lang="zh-CN" altLang="en-US"/>
              <a:t>图</a:t>
            </a:r>
            <a:r>
              <a:rPr lang="en-US" altLang="zh-CN"/>
              <a:t>4</a:t>
            </a:r>
            <a:r>
              <a:rPr lang="zh-CN" altLang="en-US"/>
              <a:t>：财政拨款收、支决算总计变动情况表</a:t>
            </a:r>
            <a:endParaRPr lang="zh-CN" altLang="en-US"/>
          </a:p>
        </c:rich>
      </c:tx>
      <c:layout>
        <c:manualLayout>
          <c:xMode val="edge"/>
          <c:yMode val="edge"/>
          <c:x val="0.147359151497564"/>
          <c:y val="0.038887591218985"/>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2024年</c:v>
                </c:pt>
              </c:strCache>
            </c:strRef>
          </c:tx>
          <c:spPr>
            <a:blipFill dpi="0" rotWithShape="1">
              <a:blip xmlns:r="http://schemas.openxmlformats.org/officeDocument/2006/relationships" r:embed="rId3">
                <a:duotone>
                  <a:schemeClr val="accent1">
                    <a:lumMod val="80000"/>
                  </a:schemeClr>
                  <a:prstClr val="white"/>
                </a:duotone>
              </a:blip>
              <a:srcRect/>
              <a:stretch>
                <a:fillRect/>
              </a:stretch>
            </a:blipFill>
            <a:ln>
              <a:noFill/>
            </a:ln>
            <a:effectLst/>
          </c:spPr>
          <c:invertIfNegative val="0"/>
          <c:dLbls>
            <c:spPr>
              <a:noFill/>
              <a:ln>
                <a:noFill/>
              </a:ln>
              <a:effectLst/>
            </c:spPr>
            <c:txPr>
              <a:bodyPr rot="0" spcFirstLastPara="0" vertOverflow="ellipsis" vert="horz" wrap="square" lIns="38100" tIns="19050" rIns="38100" bIns="19050" anchor="ctr" anchorCtr="1" forceAA="0">
                <a:spAutoFit/>
              </a:bodyPr>
              <a:lstStyle/>
              <a:p>
                <a:pPr>
                  <a:defRPr lang="zh-CN" sz="900" b="0" i="0" u="none" strike="noStrike" kern="1200" baseline="0">
                    <a:solidFill>
                      <a:schemeClr val="accent1"/>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571.19</c:v>
                </c:pt>
                <c:pt idx="1">
                  <c:v>571.19</c:v>
                </c:pt>
              </c:numCache>
            </c:numRef>
          </c:val>
        </c:ser>
        <c:ser>
          <c:idx val="1"/>
          <c:order val="1"/>
          <c:tx>
            <c:strRef>
              <c:f>Sheet1!$C$1</c:f>
              <c:strCache>
                <c:ptCount val="1"/>
                <c:pt idx="0">
                  <c:v>2025年</c:v>
                </c:pt>
              </c:strCache>
            </c:strRef>
          </c:tx>
          <c:spPr>
            <a:blipFill dpi="0" rotWithShape="1">
              <a:blip xmlns:r="http://schemas.openxmlformats.org/officeDocument/2006/relationships" r:embed="rId3">
                <a:duotone>
                  <a:schemeClr val="accent2">
                    <a:lumMod val="80000"/>
                  </a:schemeClr>
                  <a:prstClr val="white"/>
                </a:duotone>
              </a:blip>
              <a:srcRect/>
              <a:stretch>
                <a:fillRect/>
              </a:stretch>
            </a:blipFill>
            <a:ln>
              <a:noFill/>
            </a:ln>
            <a:effectLst/>
          </c:spPr>
          <c:invertIfNegative val="0"/>
          <c:dLbls>
            <c:spPr>
              <a:noFill/>
              <a:ln>
                <a:noFill/>
              </a:ln>
              <a:effectLst/>
            </c:spPr>
            <c:txPr>
              <a:bodyPr rot="0" spcFirstLastPara="0" vertOverflow="ellipsis" vert="horz" wrap="square" lIns="38100" tIns="19050" rIns="38100" bIns="19050" anchor="ctr" anchorCtr="1" forceAA="0">
                <a:spAutoFit/>
              </a:bodyPr>
              <a:lstStyle/>
              <a:p>
                <a:pPr>
                  <a:defRPr lang="zh-CN" sz="900" b="0" i="0" u="none" strike="noStrike" kern="1200" baseline="0">
                    <a:solidFill>
                      <a:schemeClr val="accent2"/>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472.59</c:v>
                </c:pt>
                <c:pt idx="1">
                  <c:v>472.59</c:v>
                </c:pt>
              </c:numCache>
            </c:numRef>
          </c:val>
        </c:ser>
        <c:dLbls>
          <c:showLegendKey val="0"/>
          <c:showVal val="0"/>
          <c:showCatName val="0"/>
          <c:showSerName val="0"/>
          <c:showPercent val="0"/>
          <c:showBubbleSize val="0"/>
        </c:dLbls>
        <c:gapWidth val="150"/>
        <c:overlap val="-25"/>
        <c:axId val="372460544"/>
        <c:axId val="372466432"/>
      </c:barChart>
      <c:catAx>
        <c:axId val="372460544"/>
        <c:scaling>
          <c:orientation val="minMax"/>
        </c:scaling>
        <c:delete val="0"/>
        <c:axPos val="b"/>
        <c:numFmt formatCode="General" sourceLinked="1"/>
        <c:majorTickMark val="none"/>
        <c:minorTickMark val="none"/>
        <c:tickLblPos val="nextTo"/>
        <c:spPr>
          <a:noFill/>
          <a:ln w="34925" cap="flat" cmpd="sng" algn="ctr">
            <a:noFill/>
            <a:prstDash val="solid"/>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372466432"/>
        <c:crosses val="autoZero"/>
        <c:auto val="1"/>
        <c:lblAlgn val="ctr"/>
        <c:lblOffset val="0"/>
        <c:noMultiLvlLbl val="0"/>
      </c:catAx>
      <c:valAx>
        <c:axId val="372466432"/>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372460544"/>
        <c:crosses val="autoZero"/>
        <c:crossBetween val="between"/>
      </c:valAx>
      <c:spPr>
        <a:noFill/>
        <a:ln>
          <a:noFill/>
        </a:ln>
        <a:effectLst/>
      </c:spPr>
    </c:plotArea>
    <c:legend>
      <c:legendPos val="t"/>
      <c:layout>
        <c:manualLayout>
          <c:xMode val="edge"/>
          <c:yMode val="edge"/>
          <c:x val="0.383456693935852"/>
          <c:y val="0.150926743159753"/>
        </c:manualLayou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legend>
    <c:plotVisOnly val="1"/>
    <c:dispBlanksAs val="gap"/>
    <c:showDLblsOverMax val="0"/>
    <c:extLst>
      <c:ext uri="{0b15fc19-7d7d-44ad-8c2d-2c3a37ce22c3}">
        <chartProps xmlns="https://web.wps.cn/et/2018/main" chartId="{b257bdc0-1f86-4eb4-9b43-3f1ffd60fdbf}"/>
      </c:ext>
    </c:extLst>
  </c:chart>
  <c:spPr>
    <a:solidFill>
      <a:schemeClr val="bg1"/>
    </a:solidFill>
    <a:ln w="6350" cap="flat" cmpd="sng" algn="ctr">
      <a:solidFill>
        <a:schemeClr val="tx1">
          <a:lumMod val="50000"/>
          <a:lumOff val="50000"/>
          <a:alpha val="25000"/>
        </a:schemeClr>
      </a:solidFill>
      <a:round/>
    </a:ln>
    <a:effectLst>
      <a:outerShdw blurRad="63500" dist="37357" dir="2700000" sx="0" sy="0" rotWithShape="0">
        <a:scrgbClr r="0" g="0" b="0"/>
      </a:outerShdw>
    </a:effectLst>
  </c:spPr>
  <c:txPr>
    <a:bodyPr/>
    <a:lstStyle/>
    <a:p>
      <a:pPr>
        <a:defRPr lang="zh-CN">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r>
              <a:rPr lang="zh-CN" altLang="en-US"/>
              <a:t>图</a:t>
            </a:r>
            <a:r>
              <a:rPr lang="en-US" altLang="zh-CN"/>
              <a:t>5</a:t>
            </a:r>
            <a:r>
              <a:rPr lang="zh-CN" altLang="en-US"/>
              <a:t>：一般公共预算财政拨款支出决算变动情况</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2024年</c:v>
                </c:pt>
              </c:strCache>
            </c:strRef>
          </c:tx>
          <c:spPr>
            <a:gradFill>
              <a:gsLst>
                <a:gs pos="0">
                  <a:schemeClr val="accent1">
                    <a:lumMod val="40000"/>
                    <a:lumOff val="60000"/>
                  </a:schemeClr>
                </a:gs>
                <a:gs pos="90000">
                  <a:schemeClr val="accent1"/>
                </a:gs>
              </a:gsLst>
              <a:lin ang="5400000" scaled="0"/>
            </a:gradFill>
            <a:ln>
              <a:gradFill>
                <a:gsLst>
                  <a:gs pos="0">
                    <a:schemeClr val="accent1"/>
                  </a:gs>
                  <a:gs pos="100000">
                    <a:schemeClr val="accent1">
                      <a:lumMod val="75000"/>
                    </a:schemeClr>
                  </a:gs>
                </a:gsLst>
                <a:lin ang="5400000" scaled="1"/>
              </a:gradFill>
            </a:ln>
            <a:effectLst>
              <a:outerShdw blurRad="76200" dist="25400" dir="2700000" algn="tl" rotWithShape="0">
                <a:schemeClr val="accent1">
                  <a:lumMod val="50000"/>
                  <a:alpha val="30000"/>
                </a:schemeClr>
              </a:outerShdw>
            </a:effectLst>
          </c:spPr>
          <c:invertIfNegative val="0"/>
          <c:dLbls>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Sheet1!$B$2</c:f>
              <c:numCache>
                <c:formatCode>General</c:formatCode>
                <c:ptCount val="1"/>
                <c:pt idx="0">
                  <c:v>571.19</c:v>
                </c:pt>
              </c:numCache>
            </c:numRef>
          </c:val>
        </c:ser>
        <c:ser>
          <c:idx val="1"/>
          <c:order val="1"/>
          <c:tx>
            <c:strRef>
              <c:f>Sheet1!$C$1</c:f>
              <c:strCache>
                <c:ptCount val="1"/>
                <c:pt idx="0">
                  <c:v>2025年</c:v>
                </c:pt>
              </c:strCache>
            </c:strRef>
          </c:tx>
          <c:spPr>
            <a:gradFill>
              <a:gsLst>
                <a:gs pos="0">
                  <a:schemeClr val="accent2">
                    <a:lumMod val="40000"/>
                    <a:lumOff val="60000"/>
                  </a:schemeClr>
                </a:gs>
                <a:gs pos="90000">
                  <a:schemeClr val="accent2"/>
                </a:gs>
              </a:gsLst>
              <a:lin ang="5400000" scaled="0"/>
            </a:gradFill>
            <a:ln>
              <a:gradFill>
                <a:gsLst>
                  <a:gs pos="0">
                    <a:schemeClr val="accent2"/>
                  </a:gs>
                  <a:gs pos="100000">
                    <a:schemeClr val="accent2">
                      <a:lumMod val="75000"/>
                    </a:schemeClr>
                  </a:gs>
                </a:gsLst>
                <a:lin ang="5400000" scaled="1"/>
              </a:gradFill>
            </a:ln>
            <a:effectLst>
              <a:outerShdw blurRad="76200" dist="25400" dir="2700000" algn="tl" rotWithShape="0">
                <a:schemeClr val="accent2">
                  <a:lumMod val="50000"/>
                  <a:alpha val="30000"/>
                </a:schemeClr>
              </a:outerShdw>
            </a:effectLst>
          </c:spPr>
          <c:invertIfNegative val="0"/>
          <c:dLbls>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Sheet1!$C$2</c:f>
              <c:numCache>
                <c:formatCode>General</c:formatCode>
                <c:ptCount val="1"/>
                <c:pt idx="0">
                  <c:v>472.59</c:v>
                </c:pt>
              </c:numCache>
            </c:numRef>
          </c:val>
        </c:ser>
        <c:dLbls>
          <c:showLegendKey val="0"/>
          <c:showVal val="1"/>
          <c:showCatName val="0"/>
          <c:showSerName val="0"/>
          <c:showPercent val="0"/>
          <c:showBubbleSize val="0"/>
        </c:dLbls>
        <c:gapWidth val="246"/>
        <c:overlap val="-28"/>
        <c:axId val="372505984"/>
        <c:axId val="372507776"/>
      </c:barChart>
      <c:catAx>
        <c:axId val="372505984"/>
        <c:scaling>
          <c:orientation val="minMax"/>
        </c:scaling>
        <c:delete val="0"/>
        <c:axPos val="b"/>
        <c:numFmt formatCode="General" sourceLinked="1"/>
        <c:majorTickMark val="none"/>
        <c:minorTickMark val="none"/>
        <c:tickLblPos val="nextTo"/>
        <c:spPr>
          <a:noFill/>
          <a:ln w="6350" cap="flat" cmpd="sng" algn="ctr">
            <a:solidFill>
              <a:schemeClr val="tx1">
                <a:lumMod val="50000"/>
                <a:lumOff val="50000"/>
                <a:alpha val="2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372507776"/>
        <c:crosses val="autoZero"/>
        <c:auto val="1"/>
        <c:lblAlgn val="ctr"/>
        <c:lblOffset val="100"/>
        <c:noMultiLvlLbl val="0"/>
      </c:catAx>
      <c:valAx>
        <c:axId val="372507776"/>
        <c:scaling>
          <c:orientation val="minMax"/>
        </c:scaling>
        <c:delete val="0"/>
        <c:axPos val="l"/>
        <c:majorGridlines>
          <c:spPr>
            <a:ln w="6350" cap="flat" cmpd="sng" algn="ctr">
              <a:solidFill>
                <a:schemeClr val="tx1">
                  <a:lumMod val="50000"/>
                  <a:lumOff val="50000"/>
                  <a:alpha val="2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372505984"/>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legend>
    <c:plotVisOnly val="1"/>
    <c:dispBlanksAs val="gap"/>
    <c:showDLblsOverMax val="0"/>
    <c:extLst>
      <c:ext uri="{0b15fc19-7d7d-44ad-8c2d-2c3a37ce22c3}">
        <chartProps xmlns="https://web.wps.cn/et/2018/main" chartId="{0ecc0b7c-2f5d-40c8-8e27-27f0613b389c}"/>
      </c:ext>
    </c:extLst>
  </c:chart>
  <c:spPr>
    <a:solidFill>
      <a:schemeClr val="bg1"/>
    </a:solidFill>
    <a:ln w="6350" cap="flat" cmpd="sng" algn="ctr">
      <a:solidFill>
        <a:schemeClr val="tx1">
          <a:lumMod val="50000"/>
          <a:lumOff val="50000"/>
          <a:alpha val="25000"/>
        </a:schemeClr>
      </a:solidFill>
      <a:round/>
    </a:ln>
    <a:effectLst/>
  </c:spPr>
  <c:txPr>
    <a:bodyPr/>
    <a:lstStyle/>
    <a:p>
      <a:pPr>
        <a:defRPr lang="zh-CN">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a:t>
            </a:r>
            <a:r>
              <a:rPr lang="en-US" altLang="zh-CN"/>
              <a:t>6</a:t>
            </a:r>
            <a:r>
              <a:rPr lang="zh-CN" altLang="en-US"/>
              <a:t>：一般公共预算财政拨款支出决算结构图</a:t>
            </a:r>
            <a:endParaRPr lang="zh-CN" altLang="en-US"/>
          </a:p>
        </c:rich>
      </c:tx>
      <c:layout>
        <c:manualLayout>
          <c:xMode val="edge"/>
          <c:yMode val="edge"/>
          <c:x val="0.185793669968591"/>
          <c:y val="0.0533361665958351"/>
        </c:manualLayout>
      </c:layout>
      <c:overlay val="0"/>
      <c:spPr>
        <a:noFill/>
        <a:ln>
          <a:noFill/>
        </a:ln>
        <a:effectLst/>
      </c:spPr>
    </c:title>
    <c:autoTitleDeleted val="0"/>
    <c:plotArea>
      <c:layout/>
      <c:pieChart>
        <c:varyColors val="1"/>
        <c:ser>
          <c:idx val="0"/>
          <c:order val="0"/>
          <c:tx>
            <c:strRef>
              <c:f>Sheet1!$B$1</c:f>
              <c:strCache>
                <c:ptCount val="1"/>
                <c:pt idx="0">
                  <c:v>列2</c:v>
                </c:pt>
              </c:strCache>
            </c:strRef>
          </c:tx>
          <c:explosion val="0"/>
          <c:dPt>
            <c:idx val="0"/>
            <c:bubble3D val="0"/>
            <c:spPr>
              <a:gradFill>
                <a:gsLst>
                  <a:gs pos="0">
                    <a:schemeClr val="accent1">
                      <a:lumMod val="40000"/>
                      <a:lumOff val="60000"/>
                    </a:schemeClr>
                  </a:gs>
                  <a:gs pos="90000">
                    <a:schemeClr val="accent1"/>
                  </a:gs>
                </a:gsLst>
                <a:lin ang="5400000" scaled="0"/>
              </a:gradFill>
              <a:ln>
                <a:gradFill>
                  <a:gsLst>
                    <a:gs pos="0">
                      <a:schemeClr val="accent1"/>
                    </a:gs>
                    <a:gs pos="100000">
                      <a:schemeClr val="accent1">
                        <a:lumMod val="75000"/>
                      </a:schemeClr>
                    </a:gs>
                  </a:gsLst>
                  <a:lin ang="5400000" scaled="1"/>
                </a:gradFill>
              </a:ln>
              <a:effectLst>
                <a:outerShdw blurRad="76200" dist="25400" dir="2700000" algn="tl" rotWithShape="0">
                  <a:schemeClr val="accent1">
                    <a:lumMod val="50000"/>
                    <a:alpha val="30000"/>
                  </a:schemeClr>
                </a:outerShdw>
              </a:effectLst>
            </c:spPr>
          </c:dPt>
          <c:dPt>
            <c:idx val="1"/>
            <c:bubble3D val="0"/>
            <c:spPr>
              <a:gradFill>
                <a:gsLst>
                  <a:gs pos="0">
                    <a:schemeClr val="accent2">
                      <a:lumMod val="40000"/>
                      <a:lumOff val="60000"/>
                    </a:schemeClr>
                  </a:gs>
                  <a:gs pos="90000">
                    <a:schemeClr val="accent2"/>
                  </a:gs>
                </a:gsLst>
                <a:lin ang="5400000" scaled="0"/>
              </a:gradFill>
              <a:ln>
                <a:gradFill>
                  <a:gsLst>
                    <a:gs pos="0">
                      <a:schemeClr val="accent2"/>
                    </a:gs>
                    <a:gs pos="100000">
                      <a:schemeClr val="accent2">
                        <a:lumMod val="75000"/>
                      </a:schemeClr>
                    </a:gs>
                  </a:gsLst>
                  <a:lin ang="5400000" scaled="1"/>
                </a:gradFill>
              </a:ln>
              <a:effectLst>
                <a:outerShdw blurRad="76200" dist="25400" dir="2700000" algn="tl" rotWithShape="0">
                  <a:schemeClr val="accent2">
                    <a:lumMod val="50000"/>
                    <a:alpha val="30000"/>
                  </a:schemeClr>
                </a:outerShdw>
              </a:effectLst>
            </c:spPr>
          </c:dPt>
          <c:dPt>
            <c:idx val="2"/>
            <c:bubble3D val="0"/>
            <c:spPr>
              <a:gradFill>
                <a:gsLst>
                  <a:gs pos="0">
                    <a:schemeClr val="accent3">
                      <a:lumMod val="40000"/>
                      <a:lumOff val="60000"/>
                    </a:schemeClr>
                  </a:gs>
                  <a:gs pos="90000">
                    <a:schemeClr val="accent3"/>
                  </a:gs>
                </a:gsLst>
                <a:lin ang="5400000" scaled="0"/>
              </a:gradFill>
              <a:ln>
                <a:gradFill>
                  <a:gsLst>
                    <a:gs pos="0">
                      <a:schemeClr val="accent3"/>
                    </a:gs>
                    <a:gs pos="100000">
                      <a:schemeClr val="accent3">
                        <a:lumMod val="75000"/>
                      </a:schemeClr>
                    </a:gs>
                  </a:gsLst>
                  <a:lin ang="5400000" scaled="1"/>
                </a:gradFill>
              </a:ln>
              <a:effectLst>
                <a:outerShdw blurRad="76200" dist="25400" dir="2700000" algn="tl" rotWithShape="0">
                  <a:schemeClr val="accent3">
                    <a:lumMod val="50000"/>
                    <a:alpha val="30000"/>
                  </a:schemeClr>
                </a:outerShdw>
              </a:effectLst>
            </c:spPr>
          </c:dPt>
          <c:dPt>
            <c:idx val="3"/>
            <c:bubble3D val="0"/>
            <c:spPr>
              <a:gradFill>
                <a:gsLst>
                  <a:gs pos="0">
                    <a:schemeClr val="accent4">
                      <a:lumMod val="40000"/>
                      <a:lumOff val="60000"/>
                    </a:schemeClr>
                  </a:gs>
                  <a:gs pos="90000">
                    <a:schemeClr val="accent4"/>
                  </a:gs>
                </a:gsLst>
                <a:lin ang="5400000" scaled="0"/>
              </a:gradFill>
              <a:ln>
                <a:gradFill>
                  <a:gsLst>
                    <a:gs pos="0">
                      <a:schemeClr val="accent4"/>
                    </a:gs>
                    <a:gs pos="100000">
                      <a:schemeClr val="accent4">
                        <a:lumMod val="75000"/>
                      </a:schemeClr>
                    </a:gs>
                  </a:gsLst>
                  <a:lin ang="5400000" scaled="1"/>
                </a:gradFill>
              </a:ln>
              <a:effectLst>
                <a:outerShdw blurRad="76200" dist="25400" dir="2700000" algn="tl" rotWithShape="0">
                  <a:schemeClr val="accent4">
                    <a:lumMod val="50000"/>
                    <a:alpha val="30000"/>
                  </a:schemeClr>
                </a:outerShdw>
              </a:effectLst>
            </c:spPr>
          </c:dPt>
          <c:dPt>
            <c:idx val="4"/>
            <c:bubble3D val="0"/>
            <c:spPr>
              <a:gradFill>
                <a:gsLst>
                  <a:gs pos="0">
                    <a:schemeClr val="accent5">
                      <a:lumMod val="40000"/>
                      <a:lumOff val="60000"/>
                    </a:schemeClr>
                  </a:gs>
                  <a:gs pos="90000">
                    <a:schemeClr val="accent5"/>
                  </a:gs>
                </a:gsLst>
                <a:lin ang="5400000" scaled="0"/>
              </a:gradFill>
              <a:ln>
                <a:gradFill>
                  <a:gsLst>
                    <a:gs pos="0">
                      <a:schemeClr val="accent5"/>
                    </a:gs>
                    <a:gs pos="100000">
                      <a:schemeClr val="accent5">
                        <a:lumMod val="75000"/>
                      </a:schemeClr>
                    </a:gs>
                  </a:gsLst>
                  <a:lin ang="5400000" scaled="1"/>
                </a:gradFill>
              </a:ln>
              <a:effectLst>
                <a:outerShdw blurRad="76200" dist="25400" dir="2700000" algn="tl" rotWithShape="0">
                  <a:schemeClr val="accent5">
                    <a:lumMod val="50000"/>
                    <a:alpha val="30000"/>
                  </a:schemeClr>
                </a:outerShdw>
              </a:effectLst>
            </c:spPr>
          </c:dPt>
          <c:dLbls>
            <c:dLbl>
              <c:idx val="1"/>
              <c:layout>
                <c:manualLayout>
                  <c:x val="-0.00408070204584707"/>
                  <c:y val="0.073629925587427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Sheet1!$A$2:$A$6</c:f>
              <c:strCache>
                <c:ptCount val="5"/>
                <c:pt idx="0">
                  <c:v>社会保障和就业支出</c:v>
                </c:pt>
                <c:pt idx="1">
                  <c:v>卫生健康支出</c:v>
                </c:pt>
                <c:pt idx="2">
                  <c:v>农林水支出</c:v>
                </c:pt>
                <c:pt idx="3">
                  <c:v>住房保障支出</c:v>
                </c:pt>
                <c:pt idx="4">
                  <c:v>其他支出</c:v>
                </c:pt>
              </c:strCache>
            </c:strRef>
          </c:cat>
          <c:val>
            <c:numRef>
              <c:f>Sheet1!$B$2:$B$6</c:f>
              <c:numCache>
                <c:formatCode>0.00%</c:formatCode>
                <c:ptCount val="5"/>
                <c:pt idx="0">
                  <c:v>0.0624</c:v>
                </c:pt>
                <c:pt idx="1">
                  <c:v>0.019</c:v>
                </c:pt>
                <c:pt idx="2">
                  <c:v>0.3665</c:v>
                </c:pt>
                <c:pt idx="3">
                  <c:v>0.0262</c:v>
                </c:pt>
                <c:pt idx="4">
                  <c:v>0.5259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0d4d3bc-a9ab-4ffb-8849-054750c4e5a3}"/>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r>
              <a:rPr lang="zh-CN" altLang="en-US"/>
              <a:t>图</a:t>
            </a:r>
            <a:r>
              <a:rPr lang="en-US" altLang="zh-CN"/>
              <a:t>7</a:t>
            </a:r>
            <a:r>
              <a:rPr lang="zh-CN" altLang="en-US"/>
              <a:t>：财政拨款“三公”经费支出结构</a:t>
            </a:r>
            <a:endParaRPr lang="zh-CN" altLang="en-US"/>
          </a:p>
        </c:rich>
      </c:tx>
      <c:layout/>
      <c:overlay val="0"/>
      <c:spPr>
        <a:noFill/>
        <a:ln>
          <a:noFill/>
        </a:ln>
        <a:effectLst/>
      </c:spPr>
    </c:title>
    <c:autoTitleDeleted val="0"/>
    <c:plotArea>
      <c:layout/>
      <c:pieChart>
        <c:varyColors val="1"/>
        <c:ser>
          <c:idx val="1"/>
          <c:order val="0"/>
          <c:tx>
            <c:strRef>
              <c:f>Sheet1!$B$1</c:f>
              <c:strCache>
                <c:ptCount val="1"/>
                <c:pt idx="0">
                  <c:v>列2</c:v>
                </c:pt>
              </c:strCache>
            </c:strRef>
          </c:tx>
          <c:spPr/>
          <c:explosion val="0"/>
          <c:dPt>
            <c:idx val="0"/>
            <c:bubble3D val="0"/>
            <c:spPr>
              <a:gradFill>
                <a:gsLst>
                  <a:gs pos="0">
                    <a:schemeClr val="accent1">
                      <a:lumMod val="40000"/>
                      <a:lumOff val="60000"/>
                    </a:schemeClr>
                  </a:gs>
                  <a:gs pos="90000">
                    <a:schemeClr val="accent1"/>
                  </a:gs>
                </a:gsLst>
                <a:lin ang="5400000" scaled="0"/>
              </a:gradFill>
              <a:ln>
                <a:gradFill>
                  <a:gsLst>
                    <a:gs pos="0">
                      <a:schemeClr val="accent1"/>
                    </a:gs>
                    <a:gs pos="100000">
                      <a:schemeClr val="accent1">
                        <a:lumMod val="75000"/>
                      </a:schemeClr>
                    </a:gs>
                  </a:gsLst>
                  <a:lin ang="5400000" scaled="1"/>
                </a:gradFill>
              </a:ln>
              <a:effectLst>
                <a:outerShdw blurRad="76200" dist="25400" dir="2700000" algn="tl" rotWithShape="0">
                  <a:schemeClr val="accent1">
                    <a:lumMod val="50000"/>
                    <a:alpha val="30000"/>
                  </a:schemeClr>
                </a:outerShdw>
              </a:effectLst>
            </c:spPr>
          </c:dPt>
          <c:dPt>
            <c:idx val="1"/>
            <c:bubble3D val="0"/>
            <c:spPr>
              <a:gradFill>
                <a:gsLst>
                  <a:gs pos="0">
                    <a:schemeClr val="accent2">
                      <a:lumMod val="40000"/>
                      <a:lumOff val="60000"/>
                    </a:schemeClr>
                  </a:gs>
                  <a:gs pos="90000">
                    <a:schemeClr val="accent2"/>
                  </a:gs>
                </a:gsLst>
                <a:lin ang="5400000" scaled="0"/>
              </a:gradFill>
              <a:ln>
                <a:gradFill>
                  <a:gsLst>
                    <a:gs pos="0">
                      <a:schemeClr val="accent2"/>
                    </a:gs>
                    <a:gs pos="100000">
                      <a:schemeClr val="accent2">
                        <a:lumMod val="75000"/>
                      </a:schemeClr>
                    </a:gs>
                  </a:gsLst>
                  <a:lin ang="5400000" scaled="1"/>
                </a:gradFill>
              </a:ln>
              <a:effectLst>
                <a:outerShdw blurRad="76200" dist="25400" dir="2700000" algn="tl" rotWithShape="0">
                  <a:schemeClr val="accent2">
                    <a:lumMod val="50000"/>
                    <a:alpha val="30000"/>
                  </a:schemeClr>
                </a:outerShdw>
              </a:effectLst>
            </c:spPr>
          </c:dPt>
          <c:dPt>
            <c:idx val="2"/>
            <c:bubble3D val="0"/>
            <c:spPr>
              <a:gradFill>
                <a:gsLst>
                  <a:gs pos="0">
                    <a:schemeClr val="accent3">
                      <a:lumMod val="40000"/>
                      <a:lumOff val="60000"/>
                    </a:schemeClr>
                  </a:gs>
                  <a:gs pos="90000">
                    <a:schemeClr val="accent3"/>
                  </a:gs>
                </a:gsLst>
                <a:lin ang="5400000" scaled="0"/>
              </a:gradFill>
              <a:ln>
                <a:gradFill>
                  <a:gsLst>
                    <a:gs pos="0">
                      <a:schemeClr val="accent3"/>
                    </a:gs>
                    <a:gs pos="100000">
                      <a:schemeClr val="accent3">
                        <a:lumMod val="75000"/>
                      </a:schemeClr>
                    </a:gs>
                  </a:gsLst>
                  <a:lin ang="5400000" scaled="1"/>
                </a:gradFill>
              </a:ln>
              <a:effectLst>
                <a:outerShdw blurRad="76200" dist="25400" dir="2700000" algn="tl" rotWithShape="0">
                  <a:schemeClr val="accent3">
                    <a:lumMod val="50000"/>
                    <a:alpha val="30000"/>
                  </a:schemeClr>
                </a:outerShdw>
              </a:effectLst>
            </c:spPr>
          </c:dPt>
          <c:dLbls>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c:v>
                </c:pt>
                <c:pt idx="1">
                  <c:v>公务用车购置及运行维护费</c:v>
                </c:pt>
                <c:pt idx="2">
                  <c:v>公务接待费</c:v>
                </c:pt>
              </c:strCache>
            </c:strRef>
          </c:cat>
          <c:val>
            <c:numRef>
              <c:f>Sheet1!$B$2:$B$4</c:f>
              <c:numCache>
                <c:formatCode>0%</c:formatCode>
                <c:ptCount val="3"/>
                <c:pt idx="0">
                  <c:v>0</c:v>
                </c:pt>
                <c:pt idx="1" c:formatCode="0.00%">
                  <c:v>0.8309</c:v>
                </c:pt>
                <c:pt idx="2" c:formatCode="0.00%">
                  <c:v>0.1691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legend>
    <c:plotVisOnly val="1"/>
    <c:dispBlanksAs val="gap"/>
    <c:showDLblsOverMax val="0"/>
    <c:extLst>
      <c:ext uri="{0b15fc19-7d7d-44ad-8c2d-2c3a37ce22c3}">
        <chartProps xmlns="https://web.wps.cn/et/2018/main" chartId="{270aec87-4938-4b9b-a5db-b93f61c081f7}"/>
      </c:ext>
    </c:extLst>
  </c:chart>
  <c:spPr>
    <a:solidFill>
      <a:schemeClr val="bg1"/>
    </a:solidFill>
    <a:ln w="6350" cap="flat" cmpd="sng" algn="ctr">
      <a:solidFill>
        <a:schemeClr val="tx1">
          <a:lumMod val="50000"/>
          <a:lumOff val="50000"/>
          <a:alpha val="2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4">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styleClr val="auto"/>
    </cs:effectRef>
    <cs:fontRef idx="minor">
      <a:schemeClr val="dk1"/>
    </cs:fontRef>
    <cs:spPr>
      <a:gradFill>
        <a:gsLst>
          <a:gs pos="0">
            <a:schemeClr val="phClr">
              <a:lumMod val="40000"/>
              <a:lumOff val="60000"/>
            </a:schemeClr>
          </a:gs>
          <a:gs pos="90000">
            <a:schemeClr val="phClr"/>
          </a:gs>
        </a:gsLst>
        <a:lin ang="5400000" scaled="0"/>
      </a:gradFill>
      <a:ln>
        <a:gradFill>
          <a:gsLst>
            <a:gs pos="0">
              <a:schemeClr val="phClr"/>
            </a:gs>
            <a:gs pos="100000">
              <a:schemeClr val="phClr">
                <a:lumMod val="75000"/>
              </a:schemeClr>
            </a:gs>
          </a:gsLst>
          <a:lin ang="5400000" scaled="1"/>
        </a:gradFill>
      </a:ln>
      <a:effectLst>
        <a:outerShdw blurRad="76200" dist="25400" dir="2700000" algn="tl" rotWithShape="0">
          <a:schemeClr val="phClr">
            <a:lumMod val="50000"/>
            <a:alpha val="30000"/>
          </a:schemeClr>
        </a:outerShdw>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5">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styleClr val="auto"/>
    </cs:effectRef>
    <cs:fontRef idx="minor">
      <a:schemeClr val="dk1"/>
    </cs:fontRef>
    <cs:spPr>
      <a:gradFill>
        <a:gsLst>
          <a:gs pos="0">
            <a:schemeClr val="phClr">
              <a:lumMod val="40000"/>
              <a:lumOff val="60000"/>
            </a:schemeClr>
          </a:gs>
          <a:gs pos="90000">
            <a:schemeClr val="phClr"/>
          </a:gs>
        </a:gsLst>
        <a:lin ang="5400000" scaled="0"/>
      </a:gradFill>
      <a:ln>
        <a:gradFill>
          <a:gsLst>
            <a:gs pos="0">
              <a:schemeClr val="phClr"/>
            </a:gs>
            <a:gs pos="100000">
              <a:schemeClr val="phClr">
                <a:lumMod val="75000"/>
              </a:schemeClr>
            </a:gs>
          </a:gsLst>
          <a:lin ang="5400000" scaled="1"/>
        </a:gradFill>
      </a:ln>
      <a:effectLst>
        <a:outerShdw blurRad="76200" dist="25400" dir="2700000" algn="tl" rotWithShape="0">
          <a:schemeClr val="phClr">
            <a:lumMod val="50000"/>
            <a:alpha val="30000"/>
          </a:schemeClr>
        </a:outerShdw>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自定义 23">
    <a:dk1>
      <a:srgbClr val="000000"/>
    </a:dk1>
    <a:lt1>
      <a:srgbClr val="FFFFFF"/>
    </a:lt1>
    <a:dk2>
      <a:srgbClr val="44546A"/>
    </a:dk2>
    <a:lt2>
      <a:srgbClr val="E7E6E6"/>
    </a:lt2>
    <a:accent1>
      <a:srgbClr val="4EC2C8"/>
    </a:accent1>
    <a:accent2>
      <a:srgbClr val="B2CC35"/>
    </a:accent2>
    <a:accent3>
      <a:srgbClr val="9ADBC5"/>
    </a:accent3>
    <a:accent4>
      <a:srgbClr val="F986A8"/>
    </a:accent4>
    <a:accent5>
      <a:srgbClr val="F98D70"/>
    </a:accent5>
    <a:accent6>
      <a:srgbClr val="F8DC39"/>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自定义 23">
    <a:dk1>
      <a:srgbClr val="000000"/>
    </a:dk1>
    <a:lt1>
      <a:srgbClr val="FFFFFF"/>
    </a:lt1>
    <a:dk2>
      <a:srgbClr val="44546A"/>
    </a:dk2>
    <a:lt2>
      <a:srgbClr val="E7E6E6"/>
    </a:lt2>
    <a:accent1>
      <a:srgbClr val="55C2C9"/>
    </a:accent1>
    <a:accent2>
      <a:srgbClr val="67BD89"/>
    </a:accent2>
    <a:accent3>
      <a:srgbClr val="7DC047"/>
    </a:accent3>
    <a:accent4>
      <a:srgbClr val="D0CE49"/>
    </a:accent4>
    <a:accent5>
      <a:srgbClr val="6CC7D1"/>
    </a:accent5>
    <a:accent6>
      <a:srgbClr val="60BC8A"/>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82841a7e-fe1d-4411-a2f3-97839c1dd996</errorID>
      <errorWord>法律、法规</errorWord>
      <group>L1_Word</group>
      <groupName>字词问题</groupName>
      <ability>L2_Typo</ability>
      <abilityName>字词错误</abilityName>
      <candidateList>
        <item>法律法规</item>
      </candidateList>
      <explain/>
      <paraID>3CD837B9</paraID>
      <start>199</start>
      <end>203</end>
      <status>modified</status>
      <modifiedWord>法律法规</modifiedWord>
      <trackRevisions>false</trackRevisions>
    </reviewItem>
    <reviewItem>
      <errorID>46e95988-702b-4b2b-b4a7-286fe6c2a9d4</errorID>
      <errorWord>“森林四库”</errorWord>
      <group>L1_Political</group>
      <groupName>政治性问题</groupName>
      <ability>L2_Keyword</ability>
      <abilityName>固定表述</abilityName>
      <candidateList>
        <item>森林“四库”</item>
      </candidateList>
      <explain>注意检查当前固定表述标点是否使用规范。</explain>
      <paraID>7939D9CD</paraID>
      <start>29</start>
      <end>35</end>
      <status>unmodified</status>
      <modifiedWord/>
      <trackRevisions>false</trackRevisions>
    </reviewItem>
    <reviewItem>
      <errorID>703134b4-577c-4225-8f42-c22bc5293bda</errorID>
      <errorWord>“森林四库”</errorWord>
      <group>L1_Political</group>
      <groupName>政治性问题</groupName>
      <ability>L2_Keyword</ability>
      <abilityName>固定表述</abilityName>
      <candidateList>
        <item>森林“四库”</item>
      </candidateList>
      <explain>注意检查当前固定表述标点是否使用规范。</explain>
      <paraID>7939D9CD</paraID>
      <start>111</start>
      <end>117</end>
      <status>unmodified</status>
      <modifiedWord/>
      <trackRevisions>false</trackRevisions>
    </reviewItem>
    <reviewItem>
      <errorID>1477dd4c-bfa4-4084-a18a-f900799a93e6</errorID>
      <errorWord>，</errorWord>
      <group>L1_Word</group>
      <groupName>字词问题</groupName>
      <ability>L2_Typo</ability>
      <abilityName>字词错误</abilityName>
      <candidateList>
        <item>，在</item>
      </candidateList>
      <explain/>
      <paraID>4A8FFCEC</paraID>
      <start>107</start>
      <end>109</end>
      <status>modified</status>
      <modifiedWord>，在</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ade78c-dcb8-43ab-939f-438b0c7a2c32}">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19</Pages>
  <Words>4811</Words>
  <Characters>5261</Characters>
  <Lines>5</Lines>
  <Paragraphs>10</Paragraphs>
  <TotalTime>40</TotalTime>
  <ScaleCrop>false</ScaleCrop>
  <LinksUpToDate>false</LinksUpToDate>
  <CharactersWithSpaces>5298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2020-08-08T17:49:00Z</dcterms:created>
  <dc:creator>曹颖</dc:creator>
  <cp:lastModifiedBy>苗琪玥</cp:lastModifiedBy>
  <cp:lastPrinted>2026-08-27T00:27:00Z</cp:lastPrinted>
  <dcterms:modified xsi:type="dcterms:W3CDTF">2026-09-14T01:18:21Z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3BF536824C220DA3E40E8B68BA118B1C_42</vt:lpwstr>
  </property>
  <property fmtid="{D5CDD505-2E9C-101B-9397-08002B2CF9AE}" pid="4" name="KSOTemplateDocerSaveRecord">
    <vt:lpwstr>eyJoZGlkIjoiNDMyZGVhNTA1MWY2NzJlZDY4MTIyODQ3ZDNiOTljN2YiLCJ1c2VySWQiOiIzNjYxNjkxODQifQ==</vt:lpwstr>
  </property>
</Properties>
</file>