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69F0">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96597"/>
      <w:bookmarkStart w:id="3" w:name="_Toc15377193"/>
      <w:bookmarkStart w:id="4" w:name="_Toc15378441"/>
      <w:bookmarkStart w:id="5" w:name="_Toc15396475"/>
    </w:p>
    <w:p w14:paraId="27E9BC76">
      <w:pPr>
        <w:pStyle w:val="8"/>
        <w:rPr>
          <w:rFonts w:hint="eastAsia" w:ascii="Times New Roman" w:hAnsi="Times New Roman" w:eastAsia="方正小标宋简体" w:cs="Times New Roman"/>
          <w:color w:val="auto"/>
          <w:kern w:val="2"/>
          <w:sz w:val="72"/>
          <w:szCs w:val="72"/>
          <w:highlight w:val="none"/>
          <w:lang w:val="en-US" w:eastAsia="zh-CN" w:bidi="ar-SA"/>
        </w:rPr>
      </w:pPr>
    </w:p>
    <w:p w14:paraId="0855ED59">
      <w:pPr>
        <w:pStyle w:val="8"/>
        <w:rPr>
          <w:rFonts w:hint="eastAsia" w:ascii="Times New Roman" w:hAnsi="Times New Roman" w:eastAsia="方正小标宋简体" w:cs="Times New Roman"/>
          <w:color w:val="auto"/>
          <w:kern w:val="2"/>
          <w:sz w:val="72"/>
          <w:szCs w:val="72"/>
          <w:highlight w:val="none"/>
          <w:lang w:val="en-US" w:eastAsia="zh-CN" w:bidi="ar-SA"/>
        </w:rPr>
      </w:pPr>
    </w:p>
    <w:p w14:paraId="769B3BDC">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攀枝花市林业技术服务中心</w:t>
      </w:r>
    </w:p>
    <w:p w14:paraId="78FBF954">
      <w:pPr>
        <w:pStyle w:val="8"/>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单位决算</w:t>
      </w:r>
      <w:r>
        <w:rPr>
          <w:rFonts w:hint="eastAsia" w:ascii="Times New Roman" w:hAnsi="Times New Roman" w:eastAsia="方正小标宋简体" w:cs="Times New Roman"/>
          <w:color w:val="auto"/>
          <w:kern w:val="2"/>
          <w:sz w:val="44"/>
          <w:szCs w:val="44"/>
          <w:highlight w:val="none"/>
          <w:lang w:val="en-US" w:eastAsia="zh-CN" w:bidi="ar-SA"/>
        </w:rPr>
        <w:t>公开</w:t>
      </w:r>
      <w:r>
        <w:rPr>
          <w:rFonts w:hint="eastAsia" w:ascii="Times New Roman" w:eastAsia="方正小标宋简体" w:cs="Times New Roman"/>
          <w:color w:val="auto"/>
          <w:kern w:val="2"/>
          <w:sz w:val="44"/>
          <w:szCs w:val="44"/>
          <w:highlight w:val="none"/>
          <w:lang w:val="en-US" w:eastAsia="zh-CN" w:bidi="ar-SA"/>
        </w:rPr>
        <w:t>文字说明</w:t>
      </w:r>
    </w:p>
    <w:p w14:paraId="051A8675">
      <w:pPr>
        <w:spacing w:line="600" w:lineRule="exact"/>
        <w:jc w:val="center"/>
        <w:outlineLvl w:val="0"/>
        <w:rPr>
          <w:rFonts w:ascii="Times New Roman" w:hAnsi="Times New Roman" w:eastAsia="方正小标宋简体"/>
          <w:color w:val="auto"/>
          <w:sz w:val="72"/>
          <w:szCs w:val="72"/>
          <w:highlight w:val="none"/>
        </w:rPr>
      </w:pPr>
    </w:p>
    <w:p w14:paraId="13773A1F">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24ECB22A">
      <w:pPr>
        <w:rPr>
          <w:rFonts w:ascii="Times New Roman" w:hAnsi="Times New Roman"/>
        </w:rPr>
      </w:pPr>
    </w:p>
    <w:bookmarkEnd w:id="0"/>
    <w:bookmarkEnd w:id="1"/>
    <w:bookmarkEnd w:id="2"/>
    <w:bookmarkEnd w:id="3"/>
    <w:bookmarkEnd w:id="4"/>
    <w:bookmarkEnd w:id="5"/>
    <w:p w14:paraId="648A89BD">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05D1519E">
      <w:pPr>
        <w:widowControl/>
        <w:jc w:val="center"/>
        <w:rPr>
          <w:rFonts w:ascii="Times New Roman" w:hAnsi="Times New Roman" w:eastAsia="黑体" w:cstheme="minorBidi"/>
          <w:color w:val="auto"/>
          <w:sz w:val="28"/>
          <w:szCs w:val="28"/>
          <w:highlight w:val="none"/>
        </w:rPr>
      </w:pPr>
    </w:p>
    <w:p w14:paraId="4E12C8CB">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14:paraId="00891E75">
      <w:pPr>
        <w:rPr>
          <w:rFonts w:ascii="Times New Roman" w:hAnsi="Times New Roman"/>
          <w:color w:val="auto"/>
          <w:sz w:val="32"/>
          <w:highlight w:val="none"/>
        </w:rPr>
      </w:pPr>
    </w:p>
    <w:p w14:paraId="52F24D85">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黑体" w:cs="黑体"/>
          <w:sz w:val="32"/>
          <w:szCs w:val="32"/>
          <w:lang w:eastAsia="zh-CN"/>
        </w:rPr>
      </w:pPr>
      <w:bookmarkStart w:id="6" w:name="_Toc15396599"/>
      <w:bookmarkStart w:id="7" w:name="_Toc15377196"/>
      <w:r>
        <w:rPr>
          <w:rFonts w:hint="eastAsia" w:ascii="Times New Roman" w:hAnsi="Times New Roman" w:eastAsia="黑体" w:cs="黑体"/>
          <w:sz w:val="32"/>
          <w:szCs w:val="32"/>
        </w:rPr>
        <w:t>第一部分 单位概况</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3</w:t>
      </w:r>
    </w:p>
    <w:p w14:paraId="3550F2FC">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一、主要职责</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3</w:t>
      </w:r>
    </w:p>
    <w:p w14:paraId="5249DA8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二、机构设置</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3</w:t>
      </w:r>
    </w:p>
    <w:p w14:paraId="1D4B98F8">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第二部分202</w:t>
      </w:r>
      <w:r>
        <w:rPr>
          <w:rFonts w:hint="eastAsia" w:ascii="Times New Roman" w:hAnsi="Times New Roman" w:eastAsia="黑体" w:cs="黑体"/>
          <w:sz w:val="32"/>
          <w:szCs w:val="32"/>
          <w:lang w:val="en-US" w:eastAsia="zh-CN"/>
        </w:rPr>
        <w:t>4</w:t>
      </w:r>
      <w:r>
        <w:rPr>
          <w:rFonts w:hint="eastAsia" w:ascii="Times New Roman" w:hAnsi="Times New Roman" w:eastAsia="黑体" w:cs="黑体"/>
          <w:sz w:val="32"/>
          <w:szCs w:val="32"/>
        </w:rPr>
        <w:t>年度单位决算情况说明</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4</w:t>
      </w:r>
    </w:p>
    <w:p w14:paraId="4BD19551">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一、收入支出决算总体情况说明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4</w:t>
      </w:r>
    </w:p>
    <w:p w14:paraId="62EE672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二、收入决算情况说明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4</w:t>
      </w:r>
    </w:p>
    <w:p w14:paraId="3E33D6C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三、支出决算情况说明</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5</w:t>
      </w:r>
    </w:p>
    <w:p w14:paraId="52BC7EA4">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四、财政拨款收入支出决算总体情况说明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5</w:t>
      </w:r>
    </w:p>
    <w:p w14:paraId="076CFC4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五、一般公共预算财政拨款支出决算情况说明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5</w:t>
      </w:r>
    </w:p>
    <w:p w14:paraId="2506A6EA">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六、一般公共预算财政拨款基本支出决算情况说明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8</w:t>
      </w:r>
    </w:p>
    <w:p w14:paraId="00D1FC9B">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七、财政拨款“三公”经费支出决算情况说明</w:t>
      </w:r>
      <w:r>
        <w:rPr>
          <w:rFonts w:hint="eastAsia" w:ascii="Times New Roman" w:hAnsi="Times New Roman" w:eastAsia="仿宋_GB2312" w:cs="仿宋_GB2312"/>
          <w:sz w:val="32"/>
          <w:szCs w:val="32"/>
        </w:rPr>
        <w:tab/>
      </w:r>
      <w:r>
        <w:rPr>
          <w:rFonts w:hint="eastAsia" w:eastAsia="仿宋_GB2312" w:cs="仿宋_GB2312"/>
          <w:sz w:val="32"/>
          <w:szCs w:val="32"/>
          <w:lang w:val="en-US" w:eastAsia="zh-CN"/>
        </w:rPr>
        <w:t>9</w:t>
      </w:r>
    </w:p>
    <w:p w14:paraId="66F13EFD">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八、政府性基金预算支出决算情况说明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1</w:t>
      </w:r>
      <w:r>
        <w:rPr>
          <w:rFonts w:hint="eastAsia" w:eastAsia="仿宋_GB2312" w:cs="仿宋_GB2312"/>
          <w:sz w:val="32"/>
          <w:szCs w:val="32"/>
          <w:lang w:val="en-US" w:eastAsia="zh-CN"/>
        </w:rPr>
        <w:t>1</w:t>
      </w:r>
    </w:p>
    <w:p w14:paraId="687C53DF">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九、国有资本经营预算支出决算情况说明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11</w:t>
      </w:r>
    </w:p>
    <w:p w14:paraId="74E64F65">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十、其他重要事项的情况说明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11</w:t>
      </w:r>
    </w:p>
    <w:p w14:paraId="2947F14C">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rPr>
        <w:tab/>
      </w:r>
      <w:r>
        <w:rPr>
          <w:rFonts w:hint="eastAsia" w:ascii="Times New Roman" w:hAnsi="Times New Roman" w:eastAsia="黑体" w:cs="黑体"/>
          <w:sz w:val="32"/>
          <w:szCs w:val="32"/>
        </w:rPr>
        <w:t>1</w:t>
      </w:r>
      <w:r>
        <w:rPr>
          <w:rFonts w:hint="eastAsia" w:ascii="Times New Roman" w:hAnsi="Times New Roman" w:eastAsia="黑体" w:cs="黑体"/>
          <w:sz w:val="32"/>
          <w:szCs w:val="32"/>
          <w:lang w:val="en-US" w:eastAsia="zh-CN"/>
        </w:rPr>
        <w:t>3</w:t>
      </w:r>
    </w:p>
    <w:p w14:paraId="7956D40E">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rPr>
        <w:tab/>
      </w:r>
      <w:r>
        <w:rPr>
          <w:rFonts w:hint="eastAsia" w:ascii="Times New Roman" w:hAnsi="Times New Roman" w:eastAsia="黑体" w:cs="黑体"/>
          <w:sz w:val="32"/>
          <w:szCs w:val="32"/>
        </w:rPr>
        <w:t>1</w:t>
      </w:r>
      <w:r>
        <w:rPr>
          <w:rFonts w:hint="eastAsia" w:ascii="Times New Roman" w:hAnsi="Times New Roman" w:eastAsia="黑体" w:cs="黑体"/>
          <w:sz w:val="32"/>
          <w:szCs w:val="32"/>
          <w:lang w:val="en-US" w:eastAsia="zh-CN"/>
        </w:rPr>
        <w:t>6</w:t>
      </w:r>
    </w:p>
    <w:p w14:paraId="3B775E36">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rPr>
        <w:tab/>
      </w:r>
      <w:r>
        <w:rPr>
          <w:rFonts w:hint="eastAsia" w:ascii="Times New Roman" w:hAnsi="Times New Roman" w:eastAsia="黑体" w:cs="黑体"/>
          <w:sz w:val="32"/>
          <w:szCs w:val="32"/>
        </w:rPr>
        <w:t>1</w:t>
      </w:r>
      <w:r>
        <w:rPr>
          <w:rFonts w:hint="eastAsia" w:ascii="Times New Roman" w:hAnsi="Times New Roman" w:eastAsia="黑体" w:cs="黑体"/>
          <w:sz w:val="32"/>
          <w:szCs w:val="32"/>
          <w:lang w:val="en-US" w:eastAsia="zh-CN"/>
        </w:rPr>
        <w:t>7</w:t>
      </w:r>
    </w:p>
    <w:p w14:paraId="366177A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1DD7C65A">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2D1AB8CA">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44B35F12">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48C92369">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549D4E40">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5F18DCF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566FE4C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八、一般公共预算财政拨款基本支出决算明细表</w:t>
      </w:r>
    </w:p>
    <w:p w14:paraId="02BCF812">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3BF9D2CB">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00BA260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14:paraId="2432C970">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14:paraId="24012B2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14:paraId="38271614">
      <w:pPr>
        <w:pStyle w:val="5"/>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4D1136FE">
      <w:pPr>
        <w:pStyle w:val="5"/>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14:paraId="0AA5E69F">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主要职责</w:t>
      </w:r>
    </w:p>
    <w:p w14:paraId="27F8C1B9">
      <w:pPr>
        <w:numPr>
          <w:ilvl w:val="0"/>
          <w:numId w:val="0"/>
        </w:numPr>
        <w:ind w:firstLine="640" w:firstLineChars="200"/>
        <w:rPr>
          <w:rFonts w:hint="eastAsia"/>
          <w:lang w:eastAsia="zh-CN"/>
        </w:rPr>
      </w:pPr>
      <w:r>
        <w:rPr>
          <w:rFonts w:hint="eastAsia" w:ascii="仿宋_GB2312" w:eastAsia="仿宋_GB2312"/>
          <w:sz w:val="32"/>
          <w:szCs w:val="32"/>
        </w:rPr>
        <w:t>攀枝花市林业技术服务中心主要职责为：负责全市林业技术服务和新技术的推广应用；负责全市森林草原资源数据信息库建设；承担全市森林草原防火事务性工作；负责全市森林草原管护站点的指导和服务。</w:t>
      </w:r>
    </w:p>
    <w:p w14:paraId="5CFD855B">
      <w:pPr>
        <w:pStyle w:val="6"/>
        <w:rPr>
          <w:rStyle w:val="29"/>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14:paraId="04963F42">
      <w:pPr>
        <w:ind w:firstLine="640" w:firstLineChars="200"/>
        <w:rPr>
          <w:rFonts w:ascii="Times New Roman" w:hAnsi="Times New Roman" w:eastAsia="仿宋"/>
          <w:color w:val="auto"/>
          <w:kern w:val="0"/>
          <w:sz w:val="32"/>
          <w:szCs w:val="32"/>
          <w:highlight w:val="none"/>
        </w:rPr>
      </w:pPr>
      <w:r>
        <w:rPr>
          <w:rFonts w:hint="eastAsia" w:ascii="仿宋_GB2312" w:eastAsia="仿宋_GB2312"/>
          <w:sz w:val="32"/>
          <w:szCs w:val="32"/>
        </w:rPr>
        <w:t>攀枝花市国有林场总场更名为“攀枝花市林业技术服务中心”，为市林业局所属公益一类事业单位。将攀枝花市林业科学技术推广站（攀枝花市林业工作总站）成建制并入攀枝花市林业技术服务中心。攀枝花市林业技术服务中心核定内设机构6个，具体为：综合科、森林防火信息站、科技推广站、林木种苗站、林长制工作站、林业产业发展服务站。攀枝花市林业技术服务中心核定事业编制42名（其中3名从攀枝花市金沙国有林场调剂解决），党政领导职数3名（正职按副县级干部管理），内设机构科级领导职数8名（其中正科级领导实配不超过6名）。</w:t>
      </w:r>
      <w:r>
        <w:rPr>
          <w:rFonts w:ascii="Times New Roman" w:hAnsi="Times New Roman" w:eastAsia="仿宋"/>
          <w:color w:val="auto"/>
          <w:sz w:val="32"/>
          <w:szCs w:val="32"/>
          <w:highlight w:val="none"/>
        </w:rPr>
        <w:br w:type="page"/>
      </w:r>
    </w:p>
    <w:p w14:paraId="4CEB083A">
      <w:pPr>
        <w:pStyle w:val="5"/>
        <w:jc w:val="center"/>
        <w:rPr>
          <w:rFonts w:hint="eastAsia" w:ascii="Times New Roman" w:hAnsi="Times New Roman" w:eastAsia="黑体"/>
          <w:color w:val="auto"/>
          <w:sz w:val="32"/>
          <w:szCs w:val="32"/>
          <w:highlight w:val="none"/>
          <w:lang w:eastAsia="zh-CN"/>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bookmarkStart w:id="12" w:name="_Toc15377205"/>
      <w:bookmarkStart w:id="13" w:name="_Toc15396603"/>
    </w:p>
    <w:p w14:paraId="520B569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14:paraId="0598D8F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957.35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34.36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3.46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厉行节约，严格把控费用支出。</w:t>
      </w:r>
    </w:p>
    <w:p w14:paraId="4E016722">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eastAsia="仿宋_GB2312" w:cs="仿宋_GB2312"/>
          <w:color w:val="auto"/>
          <w:sz w:val="32"/>
          <w:szCs w:val="32"/>
          <w:highlight w:val="none"/>
          <w:lang w:eastAsia="zh-CN"/>
        </w:rPr>
        <w:drawing>
          <wp:inline distT="0" distB="0" distL="114300" distR="114300">
            <wp:extent cx="4362450" cy="2274570"/>
            <wp:effectExtent l="4445" t="4445" r="14605"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6A0A4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6364496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724.29</w:t>
      </w:r>
      <w:r>
        <w:rPr>
          <w:rFonts w:hint="eastAsia" w:ascii="仿宋_GB2312" w:hAnsi="仿宋_GB2312" w:eastAsia="仿宋_GB2312" w:cs="仿宋_GB2312"/>
          <w:sz w:val="32"/>
          <w:szCs w:val="32"/>
        </w:rPr>
        <w:t>万元，其中：一般公共预算财政拨款收入724.29</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sz w:val="32"/>
          <w:szCs w:val="32"/>
        </w:rPr>
        <w:t>政府性基金预算财政拨款收入0万元，占0%；国有资本经营预算财政拨款收入0万元，占0%；上级补助收入0万元，占0%；事业收入0万元，占0%；经营收入0万元，占0%；附属单位上缴收入0万元，占0%；其他收入0万元，占0%。</w:t>
      </w:r>
    </w:p>
    <w:p w14:paraId="155413B7">
      <w:pPr>
        <w:jc w:val="center"/>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4513580" cy="2417445"/>
            <wp:effectExtent l="4445" t="4445" r="15875" b="165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44475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14:paraId="006431B0">
      <w:pPr>
        <w:spacing w:line="600" w:lineRule="exact"/>
        <w:ind w:firstLine="643" w:firstLineChars="200"/>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678815</wp:posOffset>
            </wp:positionH>
            <wp:positionV relativeFrom="paragraph">
              <wp:posOffset>1682115</wp:posOffset>
            </wp:positionV>
            <wp:extent cx="3707765" cy="2362835"/>
            <wp:effectExtent l="4445" t="4445" r="21590" b="1397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728.66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724.29</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99.4%</w:t>
      </w:r>
      <w:r>
        <w:rPr>
          <w:rFonts w:hint="eastAsia" w:ascii="仿宋_GB2312" w:hAnsi="仿宋_GB2312"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4.37</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0.59%</w:t>
      </w:r>
      <w:r>
        <w:rPr>
          <w:rFonts w:hint="eastAsia" w:ascii="仿宋_GB2312" w:hAnsi="仿宋_GB2312"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上缴上级支出0万元，占0%；经营支出0万元，占0%；对附属单位补助支出0万元，占0%。</w:t>
      </w:r>
    </w:p>
    <w:p w14:paraId="1B35C72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235A9E0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795FFF6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3ED618D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09D4B7A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42E1F6D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26993472">
      <w:pPr>
        <w:jc w:val="both"/>
        <w:rPr>
          <w:rFonts w:hint="eastAsia" w:ascii="Times New Roman" w:hAnsi="Times New Roman" w:eastAsia="仿宋_GB2312" w:cs="仿宋_GB2312"/>
          <w:color w:val="auto"/>
          <w:sz w:val="32"/>
          <w:szCs w:val="32"/>
          <w:highlight w:val="none"/>
          <w:lang w:eastAsia="zh-CN"/>
        </w:rPr>
      </w:pPr>
    </w:p>
    <w:p w14:paraId="0C2AF8B4">
      <w:pPr>
        <w:spacing w:line="600" w:lineRule="exact"/>
        <w:ind w:firstLine="640" w:firstLineChars="200"/>
        <w:outlineLvl w:val="1"/>
        <w:rPr>
          <w:rStyle w:val="29"/>
          <w:rFonts w:ascii="Times New Roman" w:hAnsi="Times New Roman" w:eastAsia="黑体"/>
          <w:b w:val="0"/>
          <w:color w:val="auto"/>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14:paraId="45D975E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财政拨款收、支决算总计变动情况2024年度财政拨款收入、支出总计均为</w:t>
      </w:r>
      <w:r>
        <w:rPr>
          <w:rFonts w:hint="eastAsia" w:eastAsia="仿宋_GB2312" w:cs="仿宋_GB2312"/>
          <w:color w:val="auto"/>
          <w:sz w:val="32"/>
          <w:szCs w:val="32"/>
          <w:highlight w:val="none"/>
          <w:lang w:val="en-US" w:eastAsia="zh-CN"/>
        </w:rPr>
        <w:t>750.92</w:t>
      </w:r>
      <w:r>
        <w:rPr>
          <w:rFonts w:hint="eastAsia" w:ascii="Times New Roman" w:hAnsi="Times New Roman" w:eastAsia="仿宋_GB2312" w:cs="仿宋_GB2312"/>
          <w:color w:val="auto"/>
          <w:kern w:val="2"/>
          <w:sz w:val="32"/>
          <w:szCs w:val="32"/>
          <w:highlight w:val="none"/>
          <w:lang w:val="en-US" w:eastAsia="zh-CN" w:bidi="ar-SA"/>
        </w:rPr>
        <w:t>万元。与2023年度相比，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34.36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3.46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厉行节约，严格把控费用支出。</w:t>
      </w:r>
    </w:p>
    <w:p w14:paraId="0F48D50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sz w:val="32"/>
          <w:szCs w:val="32"/>
          <w:highlight w:val="none"/>
          <w:lang w:val="en-US" w:eastAsia="zh-CN"/>
        </w:rPr>
        <w:drawing>
          <wp:anchor distT="0" distB="0" distL="114300" distR="114300" simplePos="0" relativeHeight="251661312" behindDoc="0" locked="0" layoutInCell="1" allowOverlap="1">
            <wp:simplePos x="0" y="0"/>
            <wp:positionH relativeFrom="column">
              <wp:posOffset>411480</wp:posOffset>
            </wp:positionH>
            <wp:positionV relativeFrom="paragraph">
              <wp:posOffset>165735</wp:posOffset>
            </wp:positionV>
            <wp:extent cx="4531995" cy="2303145"/>
            <wp:effectExtent l="4445" t="4445" r="16510" b="1651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69B34B9">
      <w:pPr>
        <w:spacing w:line="600" w:lineRule="exact"/>
        <w:ind w:firstLine="640" w:firstLineChars="200"/>
        <w:outlineLvl w:val="1"/>
        <w:rPr>
          <w:rStyle w:val="29"/>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14:paraId="0580787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4E8D5FF9">
      <w:pPr>
        <w:spacing w:line="600" w:lineRule="exact"/>
        <w:ind w:firstLine="640"/>
        <w:rPr>
          <w:rFonts w:hint="eastAsia"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color w:val="auto"/>
          <w:kern w:val="2"/>
          <w:sz w:val="32"/>
          <w:szCs w:val="32"/>
          <w:highlight w:val="none"/>
          <w:lang w:val="en-US" w:eastAsia="zh-CN" w:bidi="ar-SA"/>
        </w:rPr>
        <w:t>728.66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hAnsi="仿宋_GB2312" w:eastAsia="仿宋_GB2312" w:cs="仿宋_GB2312"/>
          <w:color w:val="auto"/>
          <w:kern w:val="2"/>
          <w:sz w:val="32"/>
          <w:szCs w:val="32"/>
          <w:highlight w:val="none"/>
          <w:lang w:val="en-US" w:eastAsia="zh-CN" w:bidi="ar-SA"/>
        </w:rPr>
        <w:t>年度相比，一般公共预算财政拨款支出</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34.36</w:t>
      </w:r>
      <w:r>
        <w:rPr>
          <w:rFonts w:hint="eastAsia" w:ascii="Times New Roman" w:hAnsi="Times New Roman" w:eastAsia="仿宋_GB2312" w:cs="仿宋_GB2312"/>
          <w:color w:val="auto"/>
          <w:sz w:val="32"/>
          <w:szCs w:val="32"/>
          <w:highlight w:val="none"/>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rPr>
        <w:t>下降</w:t>
      </w:r>
      <w:r>
        <w:rPr>
          <w:rFonts w:hint="eastAsia" w:eastAsia="仿宋_GB2312" w:cs="仿宋_GB2312"/>
          <w:color w:val="auto"/>
          <w:sz w:val="32"/>
          <w:szCs w:val="32"/>
          <w:highlight w:val="none"/>
          <w:lang w:val="en-US" w:eastAsia="zh-CN"/>
        </w:rPr>
        <w:t>4.50</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eastAsia="zh-CN"/>
        </w:rPr>
        <w:t>厉行节约，严格把控费用支出。</w:t>
      </w:r>
    </w:p>
    <w:p w14:paraId="7A3885CE">
      <w:pPr>
        <w:pStyle w:val="8"/>
        <w:jc w:val="center"/>
        <w:rPr>
          <w:rFonts w:hint="eastAsia" w:ascii="Times New Roman" w:hAnsi="Times New Roman" w:eastAsia="楷体_GB2312" w:cs="楷体_GB2312"/>
          <w:b/>
          <w:color w:val="auto"/>
          <w:sz w:val="32"/>
          <w:szCs w:val="32"/>
          <w:highlight w:val="none"/>
        </w:rPr>
      </w:pPr>
      <w:r>
        <w:rPr>
          <w:rFonts w:hint="eastAsia"/>
          <w:lang w:val="en-US" w:eastAsia="zh-CN"/>
        </w:rPr>
        <w:drawing>
          <wp:inline distT="0" distB="0" distL="114300" distR="114300">
            <wp:extent cx="4728845" cy="2576195"/>
            <wp:effectExtent l="4445" t="4445" r="10160" b="1016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23" w:name="_Toc15377211"/>
    </w:p>
    <w:p w14:paraId="73C2DC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027C979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2024年度一般公共预算财政拨款支出728.66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172.94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23.73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35.60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4.89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农林水支出472.58万元，占64.86%；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47.53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6.52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835AEE9">
      <w:pPr>
        <w:pStyle w:val="8"/>
        <w:jc w:val="center"/>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inline distT="0" distB="0" distL="114300" distR="114300">
            <wp:extent cx="4517390" cy="2607310"/>
            <wp:effectExtent l="4445" t="4445" r="12065"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AF9F6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2204D0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213"/>
      <w:bookmarkStart w:id="26" w:name="_Toc15377444"/>
      <w:bookmarkStart w:id="2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2024年度一般公共预算财政拨款支出决算数为728.66</w:t>
      </w:r>
      <w:r>
        <w:rPr>
          <w:rFonts w:hint="eastAsia"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77617A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社会保障和就业（类）行政事业单位养老支出（款）事业单位离退休（项）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71.78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63.96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抚恤</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死亡抚恤</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37.20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3A0583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31.44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公务员医疗补助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4.16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4237848">
      <w:pPr>
        <w:spacing w:line="600" w:lineRule="exact"/>
        <w:ind w:firstLine="640"/>
        <w:rPr>
          <w:rFonts w:hint="eastAsia" w:eastAsia="仿宋_GB2312" w:cs="仿宋_GB2312"/>
          <w:color w:val="auto"/>
          <w:kern w:val="2"/>
          <w:sz w:val="32"/>
          <w:szCs w:val="32"/>
          <w:highlight w:val="none"/>
          <w:lang w:val="en-US" w:eastAsia="zh-CN" w:bidi="ar-SA"/>
        </w:rPr>
      </w:pPr>
    </w:p>
    <w:p w14:paraId="1CFD3F85">
      <w:pPr>
        <w:spacing w:line="600" w:lineRule="exact"/>
        <w:ind w:firstLine="640"/>
        <w:rPr>
          <w:rFonts w:hint="eastAsia"/>
          <w:lang w:val="en-US" w:eastAsia="zh-CN"/>
        </w:rPr>
      </w:pPr>
      <w:r>
        <w:rPr>
          <w:rFonts w:hint="eastAsia" w:eastAsia="仿宋_GB2312" w:cs="仿宋_GB2312"/>
          <w:color w:val="auto"/>
          <w:kern w:val="2"/>
          <w:sz w:val="32"/>
          <w:szCs w:val="32"/>
          <w:highlight w:val="none"/>
          <w:lang w:val="en-US" w:eastAsia="zh-CN" w:bidi="ar-SA"/>
        </w:rPr>
        <w:t>3.农林水</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农业农村</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。农林水</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林业和草原</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事业机构</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461.93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1C8E42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住房改革支出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47.53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2E13C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446AE9B">
      <w:pPr>
        <w:tabs>
          <w:tab w:val="right" w:pos="8306"/>
        </w:tabs>
        <w:spacing w:line="600" w:lineRule="exact"/>
        <w:ind w:firstLine="640"/>
        <w:outlineLvl w:val="1"/>
        <w:rPr>
          <w:rStyle w:val="29"/>
          <w:rFonts w:ascii="Times New Roman" w:hAnsi="Times New Roman"/>
          <w:color w:val="auto"/>
          <w:highlight w:val="none"/>
        </w:rPr>
      </w:pPr>
      <w:bookmarkStart w:id="28" w:name="_Toc15377214"/>
      <w:bookmarkStart w:id="2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14:paraId="2153DB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2024年度一般公共预算财政拨款基本支出724.29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415ED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人员经费677.76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公用经费46.5</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万元，主要包括：办公费、水费、电费、邮电费、差旅费、公务接待费、委托业务费、工会经费、福利费、公务用车运行维护费、其他交通费、其他商品和服务支出、办公设备购置等。</w:t>
      </w:r>
    </w:p>
    <w:p w14:paraId="23F627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C3572F1">
      <w:pPr>
        <w:spacing w:line="600" w:lineRule="exact"/>
        <w:ind w:firstLine="640"/>
        <w:outlineLvl w:val="1"/>
        <w:rPr>
          <w:rStyle w:val="29"/>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14:paraId="37B5BFF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06CD999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2024年度“三公”经费财政拨款支出决算为10.79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33.37</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5B38021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6E5DD2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“三公”经费财政拨款支出决算中，因公出国（境）费支</w:t>
      </w:r>
      <w:r>
        <w:rPr>
          <w:rFonts w:hint="eastAsia" w:ascii="Times New Roman" w:hAnsi="Times New Roman" w:eastAsia="仿宋_GB2312" w:cs="仿宋_GB2312"/>
          <w:color w:val="auto"/>
          <w:kern w:val="2"/>
          <w:sz w:val="32"/>
          <w:szCs w:val="32"/>
          <w:highlight w:val="none"/>
          <w:lang w:val="en-US" w:eastAsia="zh-CN" w:bidi="ar-SA"/>
        </w:rPr>
        <w:t>出决算0万元，占0%；公务用车购置及运行维护费支出决算10.66万元，占98.80%；公务接待费支出决算0.14万元，占1.2%。具体情况如下：</w:t>
      </w:r>
    </w:p>
    <w:p w14:paraId="2E8EE55B">
      <w:pPr>
        <w:pStyle w:val="8"/>
        <w:jc w:val="center"/>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inline distT="0" distB="0" distL="114300" distR="114300">
            <wp:extent cx="4040505" cy="2236470"/>
            <wp:effectExtent l="4445" t="5080" r="12700" b="63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49E60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全年安排因公出国（境）团组0次，出国（境）0人。因公出国（境）支出决算比2023年增加0万元，增长/下降0%。主要原因是2024年无因公出国（境）经费支出。</w:t>
      </w:r>
    </w:p>
    <w:p w14:paraId="1178A5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10.66万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公务用车购置及运行维护费支出决算比2023年度增加2.57万元，增长/下降31.77%。主要原因是林草湿荒普</w:t>
      </w:r>
      <w:r>
        <w:rPr>
          <w:rFonts w:hint="eastAsia" w:eastAsia="仿宋_GB2312" w:cs="仿宋_GB2312"/>
          <w:color w:val="auto"/>
          <w:kern w:val="2"/>
          <w:sz w:val="32"/>
          <w:szCs w:val="32"/>
          <w:highlight w:val="none"/>
          <w:lang w:val="en-US" w:eastAsia="zh-CN" w:bidi="ar-SA"/>
        </w:rPr>
        <w:t>查、“双随机、一公开”、森林草原防灭火等工作开展。</w:t>
      </w:r>
    </w:p>
    <w:p w14:paraId="79C230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5辆，其中：轿车2辆、越野车3辆、载客汽车0辆。</w:t>
      </w:r>
    </w:p>
    <w:p w14:paraId="615582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公务用车运行维护费支出10.66万元。主要用于业务检查、森林防灭火、下乡检查督导等所需的公务用车燃料费、维修费、过路过桥费、保险费等支出。</w:t>
      </w:r>
    </w:p>
    <w:p w14:paraId="2097EE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0.14万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公务接待费支出决算比2023年度增减少0.2万元，下降58.82%。主要原因是厉行节约。其中：</w:t>
      </w:r>
    </w:p>
    <w:p w14:paraId="5C8DCE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国内公务接待支出0.14万元，主要用于开展业务活动开支的用餐费。国内公务接待1批次，7人次（不包括陪同人员），共计支出0.14万元，具体内容包括：接待省上来攀指导工作人员用餐费0.34万元。</w:t>
      </w:r>
    </w:p>
    <w:p w14:paraId="3341FD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外事接待支出0万元</w:t>
      </w:r>
      <w:bookmarkStart w:id="34" w:name="_Toc15396610"/>
      <w:bookmarkStart w:id="35" w:name="_Toc15377218"/>
      <w:r>
        <w:rPr>
          <w:rFonts w:hint="eastAsia" w:ascii="Times New Roman" w:hAnsi="Times New Roman" w:eastAsia="仿宋_GB2312" w:cs="仿宋_GB2312"/>
          <w:color w:val="auto"/>
          <w:kern w:val="2"/>
          <w:sz w:val="32"/>
          <w:szCs w:val="32"/>
          <w:highlight w:val="none"/>
          <w:lang w:val="en-US" w:eastAsia="zh-CN" w:bidi="ar-SA"/>
        </w:rPr>
        <w:t>。外事接待0批次，0人次（不包括陪同人员），共计支出0万元。</w:t>
      </w:r>
    </w:p>
    <w:p w14:paraId="6707F0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A352A9D">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14:paraId="071E8F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2024年度政府性基金预算财政拨款支出0万元。支出数与上年持平。</w:t>
      </w:r>
    </w:p>
    <w:p w14:paraId="0D30AC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A69BE6">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6" w:name="_Toc15377219"/>
      <w:bookmarkStart w:id="37"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14:paraId="506A4E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2024年度国有资本经营预算财政拨款支出0万元。支出数与上年持平。</w:t>
      </w:r>
    </w:p>
    <w:p w14:paraId="2786CA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6DA2831">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38" w:name="_Toc15396612"/>
      <w:bookmarkStart w:id="39"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8"/>
      <w:bookmarkEnd w:id="39"/>
    </w:p>
    <w:p w14:paraId="27042E9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71CB08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2024年度，四川省攀枝花市林业技术服务中心机关运行经费支出0万元，比2023年度增加0万元，与2023年度决算数持平。主要原因是攀枝花市林业技术服务中心为事业单位，无机关运行经费。</w:t>
      </w:r>
    </w:p>
    <w:p w14:paraId="77274C8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1D9694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四川省攀枝花市林业技术服务中心政府采购支出总额5.49万元，其中：政府采购货物支出2.08万元、政府采购工程支出0万元、政府采购服务支出3.4万元。主要用于日常工作开展。授予中小企业合同金额5.08万元，占政府采购支出总额的92.64%，其中：授予小微企业合同金额2.08万元，占政府采购支出总额的37.96%。</w:t>
      </w:r>
    </w:p>
    <w:p w14:paraId="4DA271B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5A310C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四川省攀枝花市林业技术服务中心共有车辆5辆，其中：主要负责人用车0辆、机要通信用车0辆、应急保障用车0辆、其他用车2辆，其他用车主要是用于日常工作开展。单价100万元（含）以上设备（不含车辆）0台（套）。</w:t>
      </w:r>
    </w:p>
    <w:p w14:paraId="0AEE5D8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997E3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sectPr>
          <w:footerReference r:id="rId8" w:type="first"/>
          <w:footerReference r:id="rId7" w:type="default"/>
          <w:pgSz w:w="11906" w:h="16838"/>
          <w:pgMar w:top="1440" w:right="1800" w:bottom="1440" w:left="1800" w:header="851" w:footer="992" w:gutter="0"/>
          <w:pgNumType w:fmt="numberInDash"/>
          <w:cols w:space="425" w:num="1"/>
          <w:titlePg/>
          <w:docGrid w:type="lines" w:linePitch="312" w:charSpace="0"/>
        </w:sectPr>
      </w:pPr>
      <w:bookmarkStart w:id="61" w:name="_GoBack"/>
      <w:bookmarkEnd w:id="61"/>
      <w:r>
        <w:rPr>
          <w:rFonts w:hint="eastAsia" w:ascii="Times New Roman" w:hAnsi="Times New Roman" w:eastAsia="仿宋_GB2312" w:cs="仿宋_GB2312"/>
          <w:color w:val="auto"/>
          <w:kern w:val="2"/>
          <w:sz w:val="32"/>
          <w:szCs w:val="32"/>
          <w:highlight w:val="none"/>
          <w:lang w:val="en-US" w:eastAsia="zh-CN" w:bidi="ar-SA"/>
        </w:rPr>
        <w:t>本单位</w:t>
      </w:r>
      <w:r>
        <w:rPr>
          <w:rFonts w:hint="eastAsia" w:eastAsia="仿宋_GB2312" w:cs="仿宋_GB2312"/>
          <w:color w:val="auto"/>
          <w:kern w:val="2"/>
          <w:sz w:val="32"/>
          <w:szCs w:val="32"/>
          <w:highlight w:val="none"/>
          <w:lang w:val="en-US" w:eastAsia="zh-CN" w:bidi="ar-SA"/>
        </w:rPr>
        <w:t>2024年度无部门预算项目。</w:t>
      </w:r>
    </w:p>
    <w:p w14:paraId="35785A2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07276BAF">
      <w:pPr>
        <w:spacing w:line="600" w:lineRule="exact"/>
        <w:jc w:val="left"/>
        <w:rPr>
          <w:rFonts w:ascii="Times New Roman" w:hAnsi="Times New Roman"/>
          <w:b/>
          <w:color w:val="auto"/>
          <w:sz w:val="44"/>
          <w:szCs w:val="44"/>
          <w:highlight w:val="none"/>
        </w:rPr>
      </w:pPr>
    </w:p>
    <w:p w14:paraId="7F5544D9">
      <w:pPr>
        <w:pStyle w:val="26"/>
        <w:spacing w:line="560" w:lineRule="exact"/>
        <w:ind w:firstLine="640" w:firstLineChars="200"/>
        <w:outlineLvl w:val="1"/>
        <w:rPr>
          <w:rFonts w:ascii="仿宋_GB2312" w:eastAsia="仿宋_GB2312"/>
          <w:color w:val="auto"/>
          <w:sz w:val="32"/>
          <w:szCs w:val="32"/>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t>1.</w:t>
      </w:r>
      <w:r>
        <w:rPr>
          <w:rFonts w:hint="eastAsia" w:ascii="仿宋_GB2312" w:eastAsia="仿宋_GB2312"/>
          <w:color w:val="auto"/>
          <w:sz w:val="32"/>
          <w:szCs w:val="32"/>
        </w:rPr>
        <w:t>财政拨款收入：指单位从同级财政部门取得的财政预算资金。</w:t>
      </w:r>
    </w:p>
    <w:p w14:paraId="32B4AACB">
      <w:pPr>
        <w:pStyle w:val="26"/>
        <w:spacing w:line="560" w:lineRule="exact"/>
        <w:ind w:firstLine="640" w:firstLineChars="200"/>
        <w:rPr>
          <w:rFonts w:ascii="仿宋_GB2312" w:eastAsia="仿宋_GB2312"/>
          <w:color w:val="auto"/>
          <w:sz w:val="32"/>
          <w:szCs w:val="32"/>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仿宋_GB2312" w:eastAsia="仿宋_GB2312"/>
          <w:color w:val="auto"/>
          <w:sz w:val="32"/>
          <w:szCs w:val="32"/>
        </w:rPr>
        <w:t>事业收入：指事业单位开展专业业务活动及辅助活动取得的收入。</w:t>
      </w:r>
    </w:p>
    <w:p w14:paraId="04371AAA">
      <w:pPr>
        <w:pStyle w:val="26"/>
        <w:spacing w:line="560" w:lineRule="exact"/>
        <w:ind w:firstLine="640" w:firstLineChars="200"/>
        <w:rPr>
          <w:rFonts w:hint="eastAsia" w:ascii="仿宋_GB2312" w:eastAsia="仿宋_GB2312"/>
          <w:color w:val="auto"/>
          <w:sz w:val="32"/>
          <w:szCs w:val="32"/>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_GB2312" w:eastAsia="仿宋_GB2312"/>
          <w:color w:val="auto"/>
          <w:sz w:val="32"/>
          <w:szCs w:val="32"/>
        </w:rPr>
        <w:t>经营收入：指事业单位在专业业务活动及其辅助活动之外开展非独立核算经营活动取得的收入。</w:t>
      </w:r>
    </w:p>
    <w:p w14:paraId="3F4A68E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w:t>
      </w:r>
      <w:r>
        <w:rPr>
          <w:rFonts w:hint="eastAsia" w:ascii="仿宋_GB2312" w:hAnsi="微软雅黑" w:eastAsia="仿宋_GB2312"/>
          <w:color w:val="333333"/>
          <w:sz w:val="32"/>
          <w:szCs w:val="32"/>
        </w:rPr>
        <w:t>除财政拨款收入、事业收入、经营收入以外的其他收入</w:t>
      </w:r>
      <w:r>
        <w:rPr>
          <w:rFonts w:hint="eastAsia" w:ascii="仿宋_GB2312" w:eastAsia="仿宋_GB2312"/>
          <w:color w:val="auto"/>
          <w:sz w:val="32"/>
          <w:szCs w:val="32"/>
        </w:rPr>
        <w:t>等。</w:t>
      </w:r>
      <w:r>
        <w:rPr>
          <w:rFonts w:ascii="仿宋_GB2312" w:eastAsia="仿宋_GB2312"/>
          <w:color w:val="auto"/>
          <w:sz w:val="32"/>
          <w:szCs w:val="32"/>
        </w:rPr>
        <w:t xml:space="preserve"> </w:t>
      </w:r>
    </w:p>
    <w:p w14:paraId="644F3770">
      <w:pPr>
        <w:pStyle w:val="26"/>
        <w:spacing w:line="560" w:lineRule="exact"/>
        <w:ind w:firstLine="640" w:firstLineChars="200"/>
        <w:rPr>
          <w:rFonts w:ascii="仿宋_GB2312" w:eastAsia="仿宋_GB2312"/>
          <w:color w:val="auto"/>
          <w:sz w:val="32"/>
          <w:szCs w:val="32"/>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035F5493">
      <w:pPr>
        <w:pStyle w:val="26"/>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A90F3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DDA71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AC5C774">
      <w:pPr>
        <w:ind w:firstLine="640" w:firstLineChars="200"/>
        <w:rPr>
          <w:rFonts w:ascii="仿宋_GB2312" w:eastAsia="仿宋_GB2312"/>
          <w:sz w:val="32"/>
          <w:szCs w:val="32"/>
        </w:rPr>
      </w:pPr>
      <w:r>
        <w:rPr>
          <w:rFonts w:hint="eastAsia" w:eastAsia="仿宋_GB2312" w:cs="仿宋_GB2312"/>
          <w:color w:val="auto"/>
          <w:kern w:val="2"/>
          <w:sz w:val="32"/>
          <w:szCs w:val="32"/>
          <w:highlight w:val="none"/>
          <w:lang w:val="en-US" w:eastAsia="zh-CN" w:bidi="ar-SA"/>
        </w:rPr>
        <w:t>9.</w:t>
      </w:r>
      <w:r>
        <w:rPr>
          <w:rFonts w:hint="eastAsia" w:ascii="仿宋_GB2312" w:eastAsia="仿宋_GB2312"/>
          <w:sz w:val="32"/>
          <w:szCs w:val="32"/>
        </w:rPr>
        <w:t>社会保障和就业（类）人力资源和社会保障管理事务（款）其他人力资源和社会保障管理事务支出（项）：指其他用于人力资源和社会保障管理事务方面的支出。行政事业单位养老支出（款）行政单位离退休、事业单位离退休、机关事业单位基本养老保险缴费支出（项）：指行政单位（包括实行公务员管理的事业单位）开支的离退休经费。抚恤（款）死亡抚恤（项）：指按规定用于烈士和牺牲、病故人员家属的一次性和定期抚恤金、丧葬补助费以及烈士褒扬金。社会福利（款）儿童福利（项）指对儿童提供福利服务方面的支出。</w:t>
      </w:r>
    </w:p>
    <w:p w14:paraId="556A075D">
      <w:pPr>
        <w:ind w:firstLine="640" w:firstLineChars="200"/>
        <w:rPr>
          <w:rFonts w:ascii="仿宋_GB2312" w:eastAsia="仿宋_GB2312"/>
          <w:sz w:val="32"/>
          <w:szCs w:val="32"/>
        </w:rPr>
      </w:pPr>
      <w:r>
        <w:rPr>
          <w:rFonts w:hint="eastAsia" w:eastAsia="仿宋_GB2312" w:cs="仿宋_GB2312"/>
          <w:color w:val="auto"/>
          <w:kern w:val="2"/>
          <w:sz w:val="32"/>
          <w:szCs w:val="32"/>
          <w:highlight w:val="none"/>
          <w:lang w:val="en-US" w:eastAsia="zh-CN" w:bidi="ar-SA"/>
        </w:rPr>
        <w:t>10.</w:t>
      </w:r>
      <w:r>
        <w:rPr>
          <w:rFonts w:hint="eastAsia" w:ascii="仿宋_GB2312" w:eastAsia="仿宋_GB2312"/>
          <w:sz w:val="32"/>
          <w:szCs w:val="32"/>
        </w:rPr>
        <w:t>农林水支出（类）林业和草原（款）行政运行、事业机构、森林资源培育、森林资源管理、森林生态效益补偿、</w:t>
      </w:r>
      <w:r>
        <w:rPr>
          <w:rFonts w:hint="eastAsia" w:ascii="仿宋_GB2312" w:eastAsia="仿宋_GB2312"/>
          <w:sz w:val="32"/>
          <w:szCs w:val="32"/>
          <w:lang w:eastAsia="zh-CN"/>
        </w:rPr>
        <w:t>自然保护区</w:t>
      </w:r>
      <w:r>
        <w:rPr>
          <w:rFonts w:hint="eastAsia" w:ascii="仿宋_GB2312" w:eastAsia="仿宋_GB2312"/>
          <w:sz w:val="32"/>
          <w:szCs w:val="32"/>
        </w:rPr>
        <w:t>管理、林业草原防灾减灾、其他林业和草原支出（项）：指反映行政单位（包括实行公务员管理的事业单位）的基本支出；事业单位的基本支出，不包括行政单位后勤服务中心等附属事业单位的支出；育苗、造林、抚育、退化林修复、义务植树以及生物质能源建设等方面的支出；森林资源核查、监测、评估、经营利用、林地保护等方面的支出；用于公益林保护和管理等方面的支出；用于病虫害等有害生物灾害、森林草原防火、野生动物疫病灾害等方面的支出。</w:t>
      </w:r>
    </w:p>
    <w:p w14:paraId="41128D0D">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w:t>
      </w:r>
      <w:r>
        <w:rPr>
          <w:rFonts w:hint="eastAsia" w:ascii="仿宋_GB2312" w:eastAsia="仿宋_GB2312"/>
          <w:sz w:val="32"/>
          <w:szCs w:val="32"/>
        </w:rPr>
        <w:t>指反映行政事业单位按人力资源和社会保障部、财政部规定的基本工资和津贴补贴以及规定比例为职工缴纳的住房公积金。</w:t>
      </w:r>
    </w:p>
    <w:p w14:paraId="71F044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0D11FC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16D7F3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78968F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7597F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sectPr>
          <w:pgSz w:w="11906" w:h="16838"/>
          <w:pgMar w:top="1440" w:right="1800" w:bottom="1440" w:left="1800" w:header="851" w:footer="992" w:gutter="0"/>
          <w:pgNumType w:fmt="numberInDash"/>
          <w:cols w:space="425" w:num="1"/>
          <w:titlePg/>
          <w:docGrid w:type="lines" w:linePitch="312" w:charSpace="0"/>
        </w:sect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仿宋_GB2312"/>
          <w:color w:val="auto"/>
          <w:kern w:val="2"/>
          <w:sz w:val="32"/>
          <w:szCs w:val="32"/>
          <w:highlight w:val="none"/>
          <w:lang w:val="en-US" w:eastAsia="zh-CN" w:bidi="ar-SA"/>
        </w:rPr>
        <w:t>。</w:t>
      </w:r>
    </w:p>
    <w:p w14:paraId="1D87AA43">
      <w:pPr>
        <w:spacing w:line="600" w:lineRule="exact"/>
        <w:jc w:val="center"/>
        <w:rPr>
          <w:rStyle w:val="28"/>
          <w:rFonts w:hint="eastAsia" w:ascii="Times New Roman" w:hAnsi="Times New Roman" w:eastAsia="黑体"/>
          <w:b w:val="0"/>
          <w:color w:val="auto"/>
          <w:highlight w:val="none"/>
          <w:lang w:eastAsia="zh-CN"/>
        </w:rPr>
      </w:pP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14:paraId="50D19E1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F161AC6">
      <w:pPr>
        <w:widowControl/>
        <w:jc w:val="center"/>
        <w:rPr>
          <w:rFonts w:hint="eastAsia" w:ascii="Times New Roman" w:hAnsi="Times New Roman" w:eastAsia="黑体"/>
          <w:color w:val="auto"/>
          <w:sz w:val="44"/>
          <w:szCs w:val="44"/>
          <w:highlight w:val="none"/>
        </w:rPr>
      </w:pPr>
      <w:bookmarkStart w:id="47" w:name="_Toc15396618"/>
      <w:r>
        <w:rPr>
          <w:rFonts w:hint="eastAsia" w:eastAsia="黑体" w:cs="黑体"/>
          <w:color w:val="auto"/>
          <w:sz w:val="32"/>
          <w:szCs w:val="32"/>
          <w:highlight w:val="none"/>
          <w:lang w:val="en-US" w:eastAsia="zh-CN"/>
        </w:rPr>
        <w:t>无</w:t>
      </w:r>
    </w:p>
    <w:p w14:paraId="6676C0A9">
      <w:pPr>
        <w:widowControl/>
        <w:jc w:val="center"/>
        <w:rPr>
          <w:rFonts w:hint="eastAsia" w:ascii="Times New Roman" w:hAnsi="Times New Roman" w:eastAsia="黑体"/>
          <w:color w:val="auto"/>
          <w:sz w:val="44"/>
          <w:szCs w:val="44"/>
          <w:highlight w:val="none"/>
        </w:rPr>
        <w:sectPr>
          <w:pgSz w:w="11906" w:h="16838"/>
          <w:pgMar w:top="1440" w:right="1800" w:bottom="1440" w:left="1800" w:header="851" w:footer="992" w:gutter="0"/>
          <w:pgNumType w:fmt="numberInDash"/>
          <w:cols w:space="425" w:num="1"/>
          <w:titlePg/>
          <w:docGrid w:type="lines" w:linePitch="312" w:charSpace="0"/>
        </w:sectPr>
      </w:pPr>
    </w:p>
    <w:p w14:paraId="4FEA6C47">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5"/>
      <w:bookmarkEnd w:id="47"/>
      <w:bookmarkStart w:id="48" w:name="_Toc15396619"/>
    </w:p>
    <w:p w14:paraId="66CA22D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AE37F9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575B8D1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0B4B1DF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6C584A9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23DDE0C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03C17A5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0B87D8B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7137009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339475A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1298C77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063C8C3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CE2C0D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7528815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7591D459">
      <w:pPr>
        <w:rPr>
          <w:rFonts w:hint="eastAsia" w:ascii="Times New Roman" w:hAnsi="Times New Roman"/>
          <w:lang w:eastAsia="zh-CN"/>
        </w:rPr>
      </w:pPr>
    </w:p>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48D9C">
    <w:pPr>
      <w:pStyle w:val="11"/>
      <w:jc w:val="center"/>
    </w:pPr>
  </w:p>
  <w:p w14:paraId="5F40F0C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4D20">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356CC">
                          <w:pPr>
                            <w:pStyle w:val="11"/>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E4356CC">
                    <w:pPr>
                      <w:pStyle w:val="11"/>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p>
                </w:txbxContent>
              </v:textbox>
            </v:shape>
          </w:pict>
        </mc:Fallback>
      </mc:AlternateContent>
    </w:r>
  </w:p>
  <w:p w14:paraId="19F1587B">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F80B5">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0D022">
                          <w:pPr>
                            <w:pStyle w:val="11"/>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030D022">
                    <w:pPr>
                      <w:pStyle w:val="11"/>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F597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9B93E">
                          <w:pPr>
                            <w:pStyle w:val="11"/>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B99B93E">
                    <w:pPr>
                      <w:pStyle w:val="11"/>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rPr>
                      <w:t xml:space="preserve"> </w:t>
                    </w:r>
                    <w:r>
                      <w:t>—</w:t>
                    </w:r>
                  </w:p>
                </w:txbxContent>
              </v:textbox>
            </v:shape>
          </w:pict>
        </mc:Fallback>
      </mc:AlternateContent>
    </w:r>
  </w:p>
  <w:p w14:paraId="0D615503">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2C1A">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09889">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009889">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70B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B7AE1"/>
    <w:multiLevelType w:val="singleLevel"/>
    <w:tmpl w:val="2A5B7A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936F40"/>
    <w:rsid w:val="061E35DE"/>
    <w:rsid w:val="066E0107"/>
    <w:rsid w:val="07996F6E"/>
    <w:rsid w:val="07DFD8BA"/>
    <w:rsid w:val="09867E8F"/>
    <w:rsid w:val="0A2032A3"/>
    <w:rsid w:val="0CA8290A"/>
    <w:rsid w:val="0D35B1ED"/>
    <w:rsid w:val="0E254B6B"/>
    <w:rsid w:val="0F98263C"/>
    <w:rsid w:val="101860EC"/>
    <w:rsid w:val="101F47CC"/>
    <w:rsid w:val="10C055FF"/>
    <w:rsid w:val="11105930"/>
    <w:rsid w:val="11694EBD"/>
    <w:rsid w:val="11772AA4"/>
    <w:rsid w:val="118107EC"/>
    <w:rsid w:val="12E24EE2"/>
    <w:rsid w:val="13D50BC4"/>
    <w:rsid w:val="14B17F78"/>
    <w:rsid w:val="165E0673"/>
    <w:rsid w:val="16B831D5"/>
    <w:rsid w:val="16BB723D"/>
    <w:rsid w:val="17E50567"/>
    <w:rsid w:val="186504BB"/>
    <w:rsid w:val="19884591"/>
    <w:rsid w:val="19A445FC"/>
    <w:rsid w:val="1BE8440E"/>
    <w:rsid w:val="1D155CEE"/>
    <w:rsid w:val="1D1638FE"/>
    <w:rsid w:val="1E312DEB"/>
    <w:rsid w:val="1E740ACF"/>
    <w:rsid w:val="1E9D63A5"/>
    <w:rsid w:val="1FF35744"/>
    <w:rsid w:val="1FF6BC77"/>
    <w:rsid w:val="2186353C"/>
    <w:rsid w:val="23860B96"/>
    <w:rsid w:val="23A97432"/>
    <w:rsid w:val="240371BF"/>
    <w:rsid w:val="244F3473"/>
    <w:rsid w:val="24C97D99"/>
    <w:rsid w:val="25A718F0"/>
    <w:rsid w:val="25BB59F6"/>
    <w:rsid w:val="260F557C"/>
    <w:rsid w:val="26970054"/>
    <w:rsid w:val="27B90CB0"/>
    <w:rsid w:val="281408E2"/>
    <w:rsid w:val="29FD04D3"/>
    <w:rsid w:val="2BFF7BC6"/>
    <w:rsid w:val="2C8A61B5"/>
    <w:rsid w:val="2DC14F9C"/>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73363"/>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C54D34"/>
    <w:rsid w:val="3CEBA265"/>
    <w:rsid w:val="3D631D19"/>
    <w:rsid w:val="3D98207C"/>
    <w:rsid w:val="3DEE7CF3"/>
    <w:rsid w:val="3E740A63"/>
    <w:rsid w:val="3E78745D"/>
    <w:rsid w:val="3EE17838"/>
    <w:rsid w:val="3F55381A"/>
    <w:rsid w:val="3F7F7599"/>
    <w:rsid w:val="3FF4CAE0"/>
    <w:rsid w:val="3FF7B227"/>
    <w:rsid w:val="40F37E51"/>
    <w:rsid w:val="44257DCF"/>
    <w:rsid w:val="44E268DA"/>
    <w:rsid w:val="450D13D7"/>
    <w:rsid w:val="45506656"/>
    <w:rsid w:val="486A6C7A"/>
    <w:rsid w:val="4A627F82"/>
    <w:rsid w:val="4B0E749A"/>
    <w:rsid w:val="4B2477C4"/>
    <w:rsid w:val="4B4F25DA"/>
    <w:rsid w:val="4BE068DB"/>
    <w:rsid w:val="4D3D2A80"/>
    <w:rsid w:val="4D577224"/>
    <w:rsid w:val="4DBF1CEB"/>
    <w:rsid w:val="4DF0007C"/>
    <w:rsid w:val="4EAB630A"/>
    <w:rsid w:val="4ECE2238"/>
    <w:rsid w:val="4F833267"/>
    <w:rsid w:val="4FE9BD67"/>
    <w:rsid w:val="4FFB052F"/>
    <w:rsid w:val="52944827"/>
    <w:rsid w:val="537E6D0A"/>
    <w:rsid w:val="53F74C96"/>
    <w:rsid w:val="55170BA8"/>
    <w:rsid w:val="553218C9"/>
    <w:rsid w:val="555A5C22"/>
    <w:rsid w:val="567E1AA5"/>
    <w:rsid w:val="56E47B74"/>
    <w:rsid w:val="57175D52"/>
    <w:rsid w:val="57BD3DD4"/>
    <w:rsid w:val="580B3546"/>
    <w:rsid w:val="5A552C3C"/>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6B445D"/>
    <w:rsid w:val="647F5392"/>
    <w:rsid w:val="65E66580"/>
    <w:rsid w:val="664B1D71"/>
    <w:rsid w:val="664B4E8E"/>
    <w:rsid w:val="67277B67"/>
    <w:rsid w:val="67AA3209"/>
    <w:rsid w:val="684B4865"/>
    <w:rsid w:val="698D0931"/>
    <w:rsid w:val="6A7FE5F3"/>
    <w:rsid w:val="6B053271"/>
    <w:rsid w:val="6BDD78B3"/>
    <w:rsid w:val="6C4A05C8"/>
    <w:rsid w:val="6C8742B8"/>
    <w:rsid w:val="6DBF5E93"/>
    <w:rsid w:val="6DFF077E"/>
    <w:rsid w:val="6E714EF0"/>
    <w:rsid w:val="6E7E3605"/>
    <w:rsid w:val="6E7FDCC7"/>
    <w:rsid w:val="6E844422"/>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7F1D88"/>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127907190205849"/>
          <c:y val="0.193323893870827"/>
          <c:w val="0.824522831601836"/>
          <c:h val="0.643518912027199"/>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Sheet1!$A$3</c15:sqref>
                  </c15:fullRef>
                </c:ext>
              </c:extLst>
              <c:f>Sheet1!$A$3</c:f>
              <c:strCache>
                <c:ptCount val="1"/>
                <c:pt idx="0">
                  <c:v>支出</c:v>
                </c:pt>
              </c:strCache>
            </c:strRef>
          </c:cat>
          <c:val>
            <c:numRef>
              <c:extLst>
                <c:ext xmlns:c15="http://schemas.microsoft.com/office/drawing/2012/chart" uri="{02D57815-91ED-43cb-92C2-25804820EDAC}">
                  <c15:fullRef>
                    <c15:sqref>(Sheet1!$B$2,Sheet1!$B$2:$B$3)</c15:sqref>
                  </c15:fullRef>
                </c:ext>
              </c:extLst>
              <c:f>(Sheet1!$B$2,Sheet1!$B$2)</c:f>
              <c:numCache>
                <c:formatCode>General</c:formatCode>
                <c:ptCount val="2"/>
                <c:pt idx="0">
                  <c:v>991.71</c:v>
                </c:pt>
                <c:pt idx="1">
                  <c:v>991.71</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Sheet1!$A$3</c15:sqref>
                  </c15:fullRef>
                </c:ext>
              </c:extLst>
              <c:f>Sheet1!$A$3</c:f>
              <c:strCache>
                <c:ptCount val="1"/>
                <c:pt idx="0">
                  <c:v>支出</c:v>
                </c:pt>
              </c:strCache>
            </c:strRef>
          </c:cat>
          <c:val>
            <c:numRef>
              <c:extLst>
                <c:ext xmlns:c15="http://schemas.microsoft.com/office/drawing/2012/chart" uri="{02D57815-91ED-43cb-92C2-25804820EDAC}">
                  <c15:fullRef>
                    <c15:sqref>(Sheet1!$C$2,Sheet1!$C$2:$C$3)</c15:sqref>
                  </c15:fullRef>
                </c:ext>
              </c:extLst>
              <c:f>(Sheet1!$C$2,Sheet1!$C$2)</c:f>
              <c:numCache>
                <c:formatCode>General</c:formatCode>
                <c:ptCount val="2"/>
                <c:pt idx="0">
                  <c:v>957.35</c:v>
                </c:pt>
                <c:pt idx="1">
                  <c:v>957.35</c:v>
                </c:pt>
              </c:numCache>
            </c:numRef>
          </c:val>
        </c:ser>
        <c:dLbls>
          <c:showLegendKey val="0"/>
          <c:showVal val="1"/>
          <c:showCatName val="0"/>
          <c:showSerName val="0"/>
          <c:showPercent val="0"/>
          <c:showBubbleSize val="0"/>
        </c:dLbls>
        <c:gapWidth val="246"/>
        <c:overlap val="-28"/>
        <c:axId val="209377021"/>
        <c:axId val="948643315"/>
      </c:barChart>
      <c:catAx>
        <c:axId val="209377021"/>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年度</a:t>
                </a:r>
              </a:p>
            </c:rich>
          </c:tx>
          <c:layout>
            <c:manualLayout>
              <c:xMode val="edge"/>
              <c:yMode val="edge"/>
              <c:x val="0.917830393814931"/>
              <c:y val="0.806629834254144"/>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8643315"/>
        <c:crosses val="autoZero"/>
        <c:auto val="1"/>
        <c:lblAlgn val="ctr"/>
        <c:lblOffset val="100"/>
        <c:noMultiLvlLbl val="0"/>
      </c:catAx>
      <c:valAx>
        <c:axId val="948643315"/>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manualLayout>
              <c:xMode val="edge"/>
              <c:yMode val="edge"/>
              <c:x val="0.0123218168639768"/>
              <c:y val="0.01959201019974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93770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810aa7-9c6f-4a2c-a1d2-c2f1a0bad2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Sheet1!$A$2:$A$9</c15:sqref>
                  </c15:fullRef>
                </c:ext>
              </c:extLst>
              <c:f>(Sheet1!$A$2,Sheet1!$A$6:$A$9)</c:f>
              <c:strCache>
                <c:ptCount val="5"/>
                <c:pt idx="0">
                  <c:v>一般公共预算财政拨款收入</c:v>
                </c:pt>
                <c:pt idx="1">
                  <c:v>事业收入</c:v>
                </c:pt>
                <c:pt idx="2">
                  <c:v>经营收入</c:v>
                </c:pt>
                <c:pt idx="3">
                  <c:v>附属单位上缴收入</c:v>
                </c:pt>
                <c:pt idx="4">
                  <c:v>其他收入</c:v>
                </c:pt>
              </c:strCache>
            </c:strRef>
          </c:cat>
          <c:val>
            <c:numRef>
              <c:extLst>
                <c:ext xmlns:c15="http://schemas.microsoft.com/office/drawing/2012/chart" uri="{02D57815-91ED-43cb-92C2-25804820EDAC}">
                  <c15:fullRef>
                    <c15:sqref>Sheet1!$B$2:$B$5</c15:sqref>
                  </c15:fullRef>
                </c:ext>
              </c:extLst>
              <c:f>Sheet1!$B$2</c:f>
              <c:numCache>
                <c:formatCode>General</c:formatCode>
                <c:ptCount val="1"/>
                <c:pt idx="0">
                  <c:v>724.29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6810e09-092b-4448-93e5-13c62c4f54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728.66</c:v>
                </c:pt>
                <c:pt idx="1">
                  <c:v>4.37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8b1c33-336e-4dc1-b059-e4404fa4e18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291555931384392"/>
          <c:y val="0.298555036124097"/>
          <c:w val="0.39514375453008"/>
          <c:h val="0.695070123246919"/>
        </c:manualLayout>
      </c:layout>
      <c:barChart>
        <c:barDir val="col"/>
        <c:grouping val="clustered"/>
        <c:varyColors val="0"/>
        <c:ser>
          <c:idx val="0"/>
          <c:order val="0"/>
          <c:tx>
            <c:strRef>
              <c:f>Sheet1!$B$1</c:f>
              <c:strCache>
                <c:ptCount val="1"/>
                <c:pt idx="0">
                  <c:v>金额</c:v>
                </c:pt>
              </c:strCache>
            </c:strRef>
          </c:tx>
          <c:spPr>
            <a:solidFill>
              <a:schemeClr val="accent1"/>
            </a:solidFill>
            <a:ln>
              <a:solidFill>
                <a:schemeClr val="bg1"/>
              </a:solid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785.28</c:v>
                </c:pt>
                <c:pt idx="1">
                  <c:v>750.92</c:v>
                </c:pt>
              </c:numCache>
            </c:numRef>
          </c:val>
        </c:ser>
        <c:dLbls>
          <c:showLegendKey val="0"/>
          <c:showVal val="0"/>
          <c:showCatName val="0"/>
          <c:showSerName val="0"/>
          <c:showPercent val="0"/>
          <c:showBubbleSize val="0"/>
        </c:dLbls>
        <c:gapWidth val="100"/>
        <c:overlap val="0"/>
        <c:axId val="405121558"/>
        <c:axId val="837728044"/>
      </c:barChart>
      <c:catAx>
        <c:axId val="405121558"/>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7728044"/>
        <c:crosses val="autoZero"/>
        <c:auto val="1"/>
        <c:lblAlgn val="ctr"/>
        <c:lblOffset val="100"/>
        <c:noMultiLvlLbl val="0"/>
      </c:catAx>
      <c:valAx>
        <c:axId val="837728044"/>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manualLayout>
              <c:xMode val="edge"/>
              <c:yMode val="edge"/>
              <c:x val="0.150984329993193"/>
              <c:y val="0.176395784600381"/>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121558"/>
        <c:crosses val="autoZero"/>
        <c:crossBetween val="between"/>
      </c:valAx>
      <c:spPr>
        <a:noFill/>
        <a:ln>
          <a:noFill/>
        </a:ln>
        <a:effectLst/>
      </c:spPr>
    </c:plotArea>
    <c:legend>
      <c:legendPos val="t"/>
      <c:layout>
        <c:manualLayout>
          <c:xMode val="edge"/>
          <c:yMode val="edge"/>
          <c:x val="0.831619537275064"/>
          <c:y val="0.81498331816803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12d4fba-b6c1-4e92-ad7b-374e287ed2c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168300075776711"/>
          <c:y val="0.1554706807459"/>
          <c:w val="0.725738822935085"/>
          <c:h val="0.639721410918895"/>
        </c:manualLayout>
      </c:layout>
      <c:barChart>
        <c:barDir val="col"/>
        <c:grouping val="clustered"/>
        <c:varyColors val="0"/>
        <c:ser>
          <c:idx val="0"/>
          <c:order val="0"/>
          <c:tx>
            <c:strRef>
              <c:f>Sheet1!$B$1</c:f>
              <c:strCache>
                <c:ptCount val="1"/>
                <c:pt idx="0">
                  <c:v>金额</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Sheet1!$A$2:$A$3</c:f>
              <c:strCache>
                <c:ptCount val="2"/>
                <c:pt idx="0">
                  <c:v>2023年</c:v>
                </c:pt>
                <c:pt idx="1">
                  <c:v>2024年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763.02</c:v>
                </c:pt>
                <c:pt idx="1">
                  <c:v>728.66</c:v>
                </c:pt>
              </c:numCache>
            </c:numRef>
          </c:val>
        </c:ser>
        <c:dLbls>
          <c:showLegendKey val="0"/>
          <c:showVal val="0"/>
          <c:showCatName val="0"/>
          <c:showSerName val="0"/>
          <c:showPercent val="0"/>
          <c:showBubbleSize val="0"/>
        </c:dLbls>
        <c:gapWidth val="246"/>
        <c:overlap val="-28"/>
        <c:axId val="15503957"/>
        <c:axId val="613932486"/>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Sheet1!$A$2:$A$5</c15:sqref>
                        </c15:fullRef>
                        <c15:formulaRef>
                          <c15:sqref>Sheet1!$A$2:$A$3</c15:sqref>
                        </c15:formulaRef>
                      </c:ext>
                    </c:extLst>
                    <c:strCache>
                      <c:ptCount val="2"/>
                      <c:pt idx="0">
                        <c:v>2023年</c:v>
                      </c:pt>
                      <c:pt idx="1">
                        <c:v>2024年</c:v>
                      </c:pt>
                    </c:strCache>
                  </c:strRef>
                </c:cat>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Sheet1!$A$2:$A$5</c15:sqref>
                        </c15:fullRef>
                        <c15:formulaRef>
                          <c15:sqref>Sheet1!$A$2:$A$3</c15:sqref>
                        </c15:formulaRef>
                      </c:ext>
                    </c:extLst>
                    <c:strCache>
                      <c:ptCount val="2"/>
                      <c:pt idx="0">
                        <c:v>2023年</c:v>
                      </c:pt>
                      <c:pt idx="1">
                        <c:v>2024年</c:v>
                      </c:pt>
                    </c:strCache>
                  </c:strRef>
                </c:cat>
              </c15:ser>
            </c15:filteredBarSeries>
          </c:ext>
        </c:extLst>
      </c:barChart>
      <c:catAx>
        <c:axId val="15503957"/>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年度</a:t>
                </a:r>
              </a:p>
            </c:rich>
          </c:tx>
          <c:layout>
            <c:manualLayout>
              <c:xMode val="edge"/>
              <c:yMode val="edge"/>
              <c:x val="0.880321333655472"/>
              <c:y val="0.875478113047174"/>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3932486"/>
        <c:crosses val="autoZero"/>
        <c:auto val="1"/>
        <c:lblAlgn val="ctr"/>
        <c:lblOffset val="100"/>
        <c:noMultiLvlLbl val="0"/>
      </c:catAx>
      <c:valAx>
        <c:axId val="613932486"/>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manualLayout>
              <c:xMode val="edge"/>
              <c:yMode val="edge"/>
              <c:x val="0.057864218410244"/>
              <c:y val="0.12870803229919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039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7c7fa9-c804-4077-a7b2-2f85c418fa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zh-CN"/>
              <a:t>一般公共预算财政拨款支出决算结构</a:t>
            </a:r>
            <a:endParaRPr altLang="zh-CN"/>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General</c:formatCode>
                <c:ptCount val="4"/>
                <c:pt idx="0">
                  <c:v>172.94</c:v>
                </c:pt>
                <c:pt idx="1">
                  <c:v>35.6</c:v>
                </c:pt>
                <c:pt idx="2">
                  <c:v>472.58</c:v>
                </c:pt>
                <c:pt idx="3">
                  <c:v>47.53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412e111-1672-4d8e-ad61-eca34aa31de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因公出国（境）费</c:v>
                </c:pt>
                <c:pt idx="1">
                  <c:v>公务用车购置及运行维护费</c:v>
                </c:pt>
                <c:pt idx="2">
                  <c:v>公务接待费</c:v>
                </c:pt>
              </c:strCache>
            </c:strRef>
          </c:cat>
          <c:val>
            <c:numRef>
              <c:f>Sheet1!$B$2:$B$4</c:f>
              <c:numCache>
                <c:formatCode>0%</c:formatCode>
                <c:ptCount val="3"/>
                <c:pt idx="0">
                  <c:v>0</c:v>
                </c:pt>
                <c:pt idx="1" c:formatCode="0.00%">
                  <c:v>0.988</c:v>
                </c:pt>
                <c:pt idx="2" c:formatCode="0.00%">
                  <c:v>0.012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acfbff7-738a-402b-b3b6-c826e32de21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2326</Words>
  <Characters>2605</Characters>
  <Lines>61</Lines>
  <Paragraphs>17</Paragraphs>
  <TotalTime>7</TotalTime>
  <ScaleCrop>false</ScaleCrop>
  <LinksUpToDate>false</LinksUpToDate>
  <CharactersWithSpaces>2633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苗琪玥</cp:lastModifiedBy>
  <cp:lastPrinted>2025-08-06T17:34:00Z</cp:lastPrinted>
  <dcterms:modified xsi:type="dcterms:W3CDTF">2025-09-16T08:50:50Z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eyJoZGlkIjoiNDMyZGVhNTA1MWY2NzJlZDY4MTIyODQ3ZDNiOTljN2YiLCJ1c2VySWQiOiIzNjYxNjkxODQifQ==</vt:lpwstr>
  </property>
</Properties>
</file>