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3D1F1">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06267"/>
      <w:bookmarkStart w:id="1" w:name="_Toc15396597"/>
      <w:bookmarkStart w:id="2" w:name="_Toc15377425"/>
      <w:bookmarkStart w:id="3" w:name="_Toc15377193"/>
      <w:bookmarkStart w:id="4" w:name="_Toc15378441"/>
      <w:bookmarkStart w:id="5" w:name="_Toc15396475"/>
    </w:p>
    <w:p w14:paraId="3C38FF24">
      <w:pPr>
        <w:pStyle w:val="8"/>
        <w:rPr>
          <w:rFonts w:hint="eastAsia" w:ascii="Times New Roman" w:hAnsi="Times New Roman" w:eastAsia="方正小标宋简体" w:cs="Times New Roman"/>
          <w:color w:val="auto"/>
          <w:kern w:val="2"/>
          <w:sz w:val="72"/>
          <w:szCs w:val="72"/>
          <w:highlight w:val="none"/>
          <w:lang w:val="en-US" w:eastAsia="zh-CN" w:bidi="ar-SA"/>
        </w:rPr>
      </w:pPr>
    </w:p>
    <w:p w14:paraId="2FDE8B93">
      <w:pPr>
        <w:pStyle w:val="8"/>
        <w:rPr>
          <w:rFonts w:hint="eastAsia" w:ascii="Times New Roman" w:hAnsi="Times New Roman" w:eastAsia="方正小标宋简体" w:cs="Times New Roman"/>
          <w:color w:val="auto"/>
          <w:kern w:val="2"/>
          <w:sz w:val="72"/>
          <w:szCs w:val="72"/>
          <w:highlight w:val="none"/>
          <w:lang w:val="en-US" w:eastAsia="zh-CN" w:bidi="ar-SA"/>
        </w:rPr>
      </w:pPr>
    </w:p>
    <w:p w14:paraId="437FBA09">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攀枝花市林业局</w:t>
      </w:r>
    </w:p>
    <w:p w14:paraId="1BD63BB5">
      <w:pPr>
        <w:pStyle w:val="8"/>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单位</w:t>
      </w:r>
      <w:r>
        <w:rPr>
          <w:rFonts w:hint="eastAsia" w:ascii="Times New Roman" w:hAnsi="Times New Roman" w:eastAsia="方正小标宋简体" w:cs="Times New Roman"/>
          <w:color w:val="auto"/>
          <w:kern w:val="2"/>
          <w:sz w:val="44"/>
          <w:szCs w:val="44"/>
          <w:highlight w:val="none"/>
          <w:lang w:val="en-US" w:eastAsia="zh-CN" w:bidi="ar-SA"/>
        </w:rPr>
        <w:t>决算公开</w:t>
      </w:r>
      <w:r>
        <w:rPr>
          <w:rFonts w:hint="eastAsia" w:ascii="Times New Roman" w:eastAsia="方正小标宋简体" w:cs="Times New Roman"/>
          <w:color w:val="auto"/>
          <w:kern w:val="2"/>
          <w:sz w:val="44"/>
          <w:szCs w:val="44"/>
          <w:highlight w:val="none"/>
          <w:lang w:val="en-US" w:eastAsia="zh-CN" w:bidi="ar-SA"/>
        </w:rPr>
        <w:t>文字说明</w:t>
      </w:r>
    </w:p>
    <w:p w14:paraId="6A3AE14F">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23810D6E">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43245023">
      <w:pPr>
        <w:widowControl/>
        <w:jc w:val="center"/>
        <w:rPr>
          <w:rFonts w:ascii="Times New Roman" w:hAnsi="Times New Roman" w:eastAsia="黑体" w:cstheme="minorBidi"/>
          <w:color w:val="auto"/>
          <w:sz w:val="28"/>
          <w:szCs w:val="28"/>
          <w:highlight w:val="none"/>
        </w:rPr>
      </w:pPr>
    </w:p>
    <w:p w14:paraId="662AE308">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b w:val="0"/>
          <w:bCs w:val="0"/>
          <w:color w:val="auto"/>
          <w:sz w:val="32"/>
          <w:szCs w:val="32"/>
          <w:highlight w:val="none"/>
          <w:lang w:val="en-US" w:eastAsia="zh-CN"/>
        </w:rPr>
        <w:t>16</w:t>
      </w:r>
      <w:r>
        <w:rPr>
          <w:rFonts w:hint="eastAsia" w:ascii="Times New Roman" w:hAnsi="Times New Roman" w:eastAsia="仿宋_GB2312" w:cs="仿宋_GB2312"/>
          <w:color w:val="auto"/>
          <w:sz w:val="32"/>
          <w:szCs w:val="32"/>
          <w:highlight w:val="none"/>
        </w:rPr>
        <w:t>日</w:t>
      </w:r>
    </w:p>
    <w:p w14:paraId="5F416824">
      <w:pPr>
        <w:rPr>
          <w:rFonts w:ascii="Times New Roman" w:hAnsi="Times New Roman"/>
          <w:color w:val="auto"/>
          <w:highlight w:val="none"/>
        </w:rPr>
      </w:pPr>
    </w:p>
    <w:p w14:paraId="52F24D85">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eastAsia" w:ascii="Times New Roman" w:hAnsi="Times New Roman" w:eastAsia="黑体" w:cs="黑体"/>
          <w:sz w:val="32"/>
          <w:szCs w:val="32"/>
          <w:lang w:eastAsia="zh-CN"/>
        </w:rPr>
      </w:pPr>
      <w:bookmarkStart w:id="6" w:name="_Toc15396599"/>
      <w:bookmarkStart w:id="7" w:name="_Toc15377196"/>
      <w:r>
        <w:rPr>
          <w:rFonts w:hint="eastAsia" w:ascii="黑体" w:hAnsi="黑体" w:eastAsia="黑体" w:cs="黑体"/>
          <w:sz w:val="32"/>
          <w:szCs w:val="32"/>
        </w:rPr>
        <w:t>第一部分 单位概况</w:t>
      </w:r>
      <w:r>
        <w:rPr>
          <w:rFonts w:hint="eastAsia" w:ascii="黑体" w:hAnsi="黑体" w:eastAsia="黑体" w:cs="黑体"/>
          <w:sz w:val="32"/>
          <w:szCs w:val="32"/>
        </w:rPr>
        <w:tab/>
      </w:r>
      <w:r>
        <w:rPr>
          <w:rFonts w:hint="eastAsia" w:ascii="Times New Roman" w:hAnsi="Times New Roman" w:eastAsia="黑体" w:cs="黑体"/>
          <w:sz w:val="32"/>
          <w:szCs w:val="32"/>
          <w:lang w:val="en-US" w:eastAsia="zh-CN"/>
        </w:rPr>
        <w:t>3</w:t>
      </w:r>
    </w:p>
    <w:p w14:paraId="3550F2FC">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职责</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3</w:t>
      </w:r>
    </w:p>
    <w:p w14:paraId="5249DA8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二、机构设置</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6</w:t>
      </w:r>
    </w:p>
    <w:p w14:paraId="1D4B98F8">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第二部分 202</w:t>
      </w:r>
      <w:r>
        <w:rPr>
          <w:rFonts w:hint="eastAsia" w:ascii="Times New Roman" w:hAnsi="Times New Roman" w:eastAsia="黑体" w:cs="黑体"/>
          <w:sz w:val="32"/>
          <w:szCs w:val="32"/>
          <w:lang w:val="en-US" w:eastAsia="zh-CN"/>
        </w:rPr>
        <w:t>4</w:t>
      </w:r>
      <w:r>
        <w:rPr>
          <w:rFonts w:hint="eastAsia" w:ascii="Times New Roman" w:hAnsi="Times New Roman" w:eastAsia="黑体" w:cs="黑体"/>
          <w:sz w:val="32"/>
          <w:szCs w:val="32"/>
        </w:rPr>
        <w:t>年度单位决算情况说明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11</w:t>
      </w:r>
    </w:p>
    <w:p w14:paraId="4BD19551">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一、收入支出决算总体情况说明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11</w:t>
      </w:r>
    </w:p>
    <w:p w14:paraId="62EE672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二、收入决算情况说明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11</w:t>
      </w:r>
    </w:p>
    <w:p w14:paraId="3E33D6C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三、支出决算情况说明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12</w:t>
      </w:r>
    </w:p>
    <w:p w14:paraId="52BC7EA4">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四、财政拨款收入支出决算总体情况说明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12</w:t>
      </w:r>
    </w:p>
    <w:p w14:paraId="076CFC4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五、一般公共预算财政拨款支出决算情况说明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13</w:t>
      </w:r>
    </w:p>
    <w:p w14:paraId="2506A6E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六、一般公共预算财政拨款基本支出决算情况说明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lang w:val="en-US" w:eastAsia="zh-CN"/>
        </w:rPr>
        <w:t>15</w:t>
      </w:r>
    </w:p>
    <w:p w14:paraId="00D1FC9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七、财政拨款“三公”经费支出决算情况说明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6</w:t>
      </w:r>
    </w:p>
    <w:p w14:paraId="66F13EFD">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八、政府性基金预算支出决算情况说明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8</w:t>
      </w:r>
    </w:p>
    <w:p w14:paraId="687C53DF">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九、国有资本经营预算支出决算情况说明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8</w:t>
      </w:r>
    </w:p>
    <w:p w14:paraId="74E64F65">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十、其他重要事项的情况说明</w:t>
      </w:r>
      <w:r>
        <w:rPr>
          <w:rFonts w:hint="eastAsia" w:ascii="Times New Roman" w:hAnsi="Times New Roman" w:eastAsia="仿宋_GB2312" w:cs="仿宋_GB2312"/>
          <w:sz w:val="32"/>
          <w:szCs w:val="32"/>
        </w:rPr>
        <w:tab/>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8</w:t>
      </w:r>
    </w:p>
    <w:p w14:paraId="2947F14C">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20</w:t>
      </w:r>
    </w:p>
    <w:p w14:paraId="7956D40E">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22</w:t>
      </w:r>
    </w:p>
    <w:p w14:paraId="3B775E36">
      <w:pPr>
        <w:pStyle w:val="13"/>
        <w:keepNext w:val="0"/>
        <w:keepLines w:val="0"/>
        <w:pageBreakBefore w:val="0"/>
        <w:widowControl w:val="0"/>
        <w:kinsoku/>
        <w:wordWrap/>
        <w:overflowPunct/>
        <w:topLinePunct w:val="0"/>
        <w:autoSpaceDE/>
        <w:autoSpaceDN/>
        <w:bidi w:val="0"/>
        <w:adjustRightInd w:val="0"/>
        <w:snapToGrid w:val="0"/>
        <w:spacing w:before="0" w:line="360" w:lineRule="auto"/>
        <w:jc w:val="left"/>
        <w:textAlignment w:val="auto"/>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lang w:val="en-US" w:eastAsia="zh-CN"/>
        </w:rPr>
        <w:t>24</w:t>
      </w:r>
    </w:p>
    <w:p w14:paraId="366177A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1DD7C65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2D1AB8CA">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44B35F1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48C92369">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549D4E4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5F18DCF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566FE4C3">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14:paraId="02BCF812">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3BF9D2CB">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00BA260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2432C970">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24012B28">
      <w:pPr>
        <w:pStyle w:val="14"/>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14:paraId="2B4FC6FB">
      <w:pPr>
        <w:pStyle w:val="5"/>
        <w:jc w:val="center"/>
        <w:rPr>
          <w:rFonts w:hint="eastAsia" w:ascii="Times New Roman" w:hAnsi="Times New Roman" w:eastAsia="方正小标宋简体" w:cs="方正小标宋简体"/>
          <w:b w:val="0"/>
          <w:color w:val="auto"/>
          <w:highlight w:val="none"/>
        </w:rPr>
        <w:sectPr>
          <w:footerReference r:id="rId6" w:type="first"/>
          <w:footerReference r:id="rId5" w:type="default"/>
          <w:pgSz w:w="11906" w:h="16838"/>
          <w:pgMar w:top="1440" w:right="1800" w:bottom="1440" w:left="1800" w:header="851" w:footer="1020" w:gutter="0"/>
          <w:pgNumType w:fmt="numberInDash" w:start="1"/>
          <w:cols w:space="425" w:num="1"/>
          <w:titlePg/>
          <w:docGrid w:type="lines" w:linePitch="312" w:charSpace="0"/>
        </w:sectPr>
      </w:pPr>
    </w:p>
    <w:p w14:paraId="3206A7A1">
      <w:pPr>
        <w:pStyle w:val="5"/>
        <w:jc w:val="center"/>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eastAsia="zh-CN"/>
        </w:rPr>
        <w:t>单位</w:t>
      </w:r>
      <w:r>
        <w:rPr>
          <w:rStyle w:val="29"/>
          <w:rFonts w:hint="eastAsia" w:ascii="Times New Roman" w:hAnsi="Times New Roman" w:eastAsia="方正小标宋简体" w:cs="方正小标宋简体"/>
          <w:b w:val="0"/>
          <w:bCs w:val="0"/>
          <w:color w:val="auto"/>
          <w:highlight w:val="none"/>
        </w:rPr>
        <w:t>概况</w:t>
      </w:r>
      <w:bookmarkEnd w:id="6"/>
      <w:bookmarkEnd w:id="7"/>
    </w:p>
    <w:p w14:paraId="1BE867BC">
      <w:pPr>
        <w:pStyle w:val="6"/>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单位职责</w:t>
      </w:r>
    </w:p>
    <w:p w14:paraId="436E1E06">
      <w:pPr>
        <w:pStyle w:val="15"/>
        <w:spacing w:before="0" w:beforeAutospacing="0" w:after="0" w:afterAutospacing="0" w:line="578" w:lineRule="exact"/>
        <w:ind w:firstLine="640" w:firstLineChars="200"/>
        <w:rPr>
          <w:rFonts w:ascii="仿宋_GB2312" w:hAnsi="仿宋" w:eastAsia="仿宋_GB2312" w:cs="Times New Roman"/>
          <w:kern w:val="2"/>
          <w:sz w:val="32"/>
          <w:szCs w:val="32"/>
        </w:rPr>
      </w:pPr>
      <w:r>
        <w:rPr>
          <w:rFonts w:ascii="仿宋_GB2312" w:hAnsi="仿宋" w:eastAsia="仿宋_GB2312" w:cs="Times New Roman"/>
          <w:kern w:val="2"/>
          <w:sz w:val="32"/>
          <w:szCs w:val="32"/>
        </w:rPr>
        <w:t>（一）负责全市林业和草原及其生态保护修复的监督管理。拟订全市林业和草原及其生态保护修复的政策、规划，并组织实施。组织开展全市森林、草原、湿地、荒漠和陆生野生动植物资源动态监测与评价，推进全市林业和草原数字化建设。</w:t>
      </w:r>
    </w:p>
    <w:p w14:paraId="2B7F9F3D">
      <w:pPr>
        <w:pStyle w:val="15"/>
        <w:spacing w:before="0" w:beforeAutospacing="0" w:after="0" w:afterAutospacing="0" w:line="578" w:lineRule="exact"/>
        <w:ind w:firstLine="640" w:firstLineChars="200"/>
        <w:rPr>
          <w:rFonts w:ascii="仿宋_GB2312" w:hAnsi="仿宋" w:eastAsia="仿宋_GB2312" w:cs="Times New Roman"/>
          <w:kern w:val="2"/>
          <w:sz w:val="32"/>
          <w:szCs w:val="32"/>
        </w:rPr>
      </w:pPr>
      <w:r>
        <w:rPr>
          <w:rFonts w:ascii="仿宋_GB2312" w:hAnsi="仿宋" w:eastAsia="仿宋_GB2312" w:cs="Times New Roman"/>
          <w:kern w:val="2"/>
          <w:sz w:val="32"/>
          <w:szCs w:val="32"/>
        </w:rPr>
        <w:t>（二）组织全市林业和草原生态保护修复、造林绿化工作。组织实施林业和草原重点生态保护修复工程，指导公益林和商品林的培育，组织、指导、监督全民义务植树、城乡绿化工作。指导林业和草原有害生物防治、检疫工作。承担林业和草原应对气候变化的相关工作。</w:t>
      </w:r>
    </w:p>
    <w:p w14:paraId="442DD16D">
      <w:pPr>
        <w:pStyle w:val="15"/>
        <w:spacing w:before="0" w:beforeAutospacing="0" w:after="0" w:afterAutospacing="0" w:line="578" w:lineRule="exact"/>
        <w:ind w:firstLine="640" w:firstLineChars="200"/>
        <w:rPr>
          <w:rFonts w:ascii="仿宋_GB2312" w:hAnsi="仿宋" w:eastAsia="仿宋_GB2312" w:cs="Times New Roman"/>
          <w:kern w:val="2"/>
          <w:sz w:val="32"/>
          <w:szCs w:val="32"/>
        </w:rPr>
      </w:pPr>
      <w:r>
        <w:rPr>
          <w:rFonts w:ascii="仿宋_GB2312" w:hAnsi="仿宋" w:eastAsia="仿宋_GB2312" w:cs="Times New Roman"/>
          <w:kern w:val="2"/>
          <w:sz w:val="32"/>
          <w:szCs w:val="32"/>
        </w:rPr>
        <w:t>（三）负责全市森林、草原、湿地资源的监督管理。组织编制并监督执行全市森林采伐限额，监督指导限额采伐制度的执行和林木的凭证采伐、运输，监督木材的经营加工。负责林地管理，拟订林地保护利用规划并组织实施，组织实施公益林划定和管理工作，管理国有森林资源。负责草原禁牧、草畜平衡和草原生态修复治理工作，监督管理草原的开发利用。负责湿地生态保护修复工作，拟订全市湿地保护规划，监督管理湿地的开发利用。</w:t>
      </w:r>
    </w:p>
    <w:p w14:paraId="20D4B5BC">
      <w:pPr>
        <w:pStyle w:val="15"/>
        <w:spacing w:before="0" w:beforeAutospacing="0" w:after="0" w:afterAutospacing="0" w:line="578" w:lineRule="exact"/>
        <w:ind w:firstLine="640" w:firstLineChars="200"/>
        <w:rPr>
          <w:rFonts w:ascii="仿宋_GB2312" w:hAnsi="仿宋" w:eastAsia="仿宋_GB2312" w:cs="Times New Roman"/>
          <w:kern w:val="2"/>
          <w:sz w:val="32"/>
          <w:szCs w:val="32"/>
        </w:rPr>
      </w:pPr>
      <w:r>
        <w:rPr>
          <w:rFonts w:ascii="仿宋_GB2312" w:hAnsi="仿宋" w:eastAsia="仿宋_GB2312" w:cs="Times New Roman"/>
          <w:kern w:val="2"/>
          <w:sz w:val="32"/>
          <w:szCs w:val="32"/>
        </w:rPr>
        <w:t>（四）负责监督管理全市荒漠化防治工作。组织开展石漠化土地调查，贯彻执行国家和省有关防沙治沙、石漠化防治及沙化土地封禁保护区建设规划及其标准和规定，监督管理沙化土地的开发利用，组织沙尘暴灾害预测预报和应急处置。</w:t>
      </w:r>
    </w:p>
    <w:p w14:paraId="3FC301EB">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五）负责全市陆生野生动植物资源的监督管理。组织开展陆生野生动植物资源调查，指导陆生野生动植物的救护繁育、栖息地恢复发展、疫源疫病监测，监督管理陆生野生动植物猎捕或采集、驯养繁殖或培植、经营利用，按分工监督管理野生动植物进出口。</w:t>
      </w:r>
    </w:p>
    <w:p w14:paraId="03EAAEB3">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六）负责监督管理全市各类自然保护地。拟订各类自然保护地规划。负责国家公园申报设立、规划、建设和特许经营等工作，负责市政府直接行使和代理行使全民所有权的国家公园等自然保护地的自然资源资产管理和国土空间用途管制。提出新建、调整各类自然保护地的审核建议并按程序报批，组织审核世界自然遗产的申报，会同有关部门审核世界自然与文化双重遗产的申报。负责生物多样性保护相关工作。</w:t>
      </w:r>
    </w:p>
    <w:p w14:paraId="1B7EAF58">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七）负责推进全市林业和草原改革相关工作。拟订集体林权制度、国有林区、国有林场、草原等重大改革意见并监督实施。拟订农村林业发展、维护林业经营者合法权益的政策措施。指导、监督农村林地承包经营工作。开展退耕（牧）还林还草，负责天然林保护工作。</w:t>
      </w:r>
    </w:p>
    <w:p w14:paraId="310AEAC5">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八）贯彻执行国家和省有关林业和草原资源优化配置及木材利用政策，拟订全市林业产业发展规划并监督实施，组织、指导林草产品质量监督，指导生态扶贫相关工作。指导林业和草原现代园区建设，发展花卉、特色经济林、森林林下经济、森林康养和生态旅游产业。推进林业和草原绿色产业发展。</w:t>
      </w:r>
    </w:p>
    <w:p w14:paraId="29025BF2">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九）指导全市国有林场基本建设和发展，组织林木种质、草种种质资源普查，组织建立种质资源库，负责良种选育推广，管理林木种苗、草种生产经营行为，监管林木种苗、草种质量。监督管理林业和草原生物种质资源、转基因生物安全、植物新品种保护。</w:t>
      </w:r>
    </w:p>
    <w:p w14:paraId="5176F128">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十）负责落实全市综合防灾减灾规划相关要求，组织编制森林和草原火灾防治规划并指导实施，组织、指导开展防火巡护、火源管理、防火设施建设工作。负责森林和草原火情监测预警、火灾预防工作，发送森林和草原火险信息。组织指导国有林场林区和草原开展宣传教育、监测预警、督促检查等防火工作。</w:t>
      </w:r>
    </w:p>
    <w:p w14:paraId="1C3276E0">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负责防火宣传教育、野外火源管控、日常巡护、隐患排查整治、监测预警、基础设施建设、专业防火队伍组建管理、未达到林草火灾应急预案中启动应急响应条件的初期火情火灾处置、牵头灾损评估等工作，一旦火灾达到本级应急响应最低条件，第一时间提请市级防灭火指挥部启动相应等级应急响应。加强专业扑火队伍和群众扑火队伍管理，在每年高火险期内集中驻训、强化演练、野外巡护、火源管理，一旦有火情灭小灭早。</w:t>
      </w:r>
    </w:p>
    <w:p w14:paraId="2D9BB28B">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十一</w:t>
      </w:r>
      <w:r>
        <w:rPr>
          <w:rFonts w:ascii="仿宋_GB2312" w:hAnsi="仿宋" w:eastAsia="仿宋_GB2312" w:cs="Times New Roman"/>
          <w:kern w:val="2"/>
          <w:sz w:val="32"/>
          <w:szCs w:val="32"/>
        </w:rPr>
        <w:t>）监督管理全市林业和草原市级以上资金和国有资产，提出林业和草原预算内投资、市级以上财政性资金安排建议，按市政府规定权限，核报、核准规划内和年度计划内投资项目。参与拟订全市林业和草原经济调节政策，组织实施林业和草原生态补偿工作。</w:t>
      </w:r>
    </w:p>
    <w:p w14:paraId="5011694E">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十二</w:t>
      </w:r>
      <w:r>
        <w:rPr>
          <w:rFonts w:ascii="仿宋_GB2312" w:hAnsi="仿宋" w:eastAsia="仿宋_GB2312" w:cs="Times New Roman"/>
          <w:kern w:val="2"/>
          <w:sz w:val="32"/>
          <w:szCs w:val="32"/>
        </w:rPr>
        <w:t>）负责林业和草原科技、教育和对外交流工作，指导全市林业和草原人才队伍建设，组织实施林业和草原对外交流与合作事务。</w:t>
      </w:r>
    </w:p>
    <w:p w14:paraId="0A4F8014">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十三</w:t>
      </w:r>
      <w:r>
        <w:rPr>
          <w:rFonts w:ascii="仿宋_GB2312" w:hAnsi="仿宋" w:eastAsia="仿宋_GB2312" w:cs="Times New Roman"/>
          <w:kern w:val="2"/>
          <w:sz w:val="32"/>
          <w:szCs w:val="32"/>
        </w:rPr>
        <w:t>）承担职责范围内的安全生产和职业健康、生态环境保护、审批服务便民化等工作。</w:t>
      </w:r>
    </w:p>
    <w:p w14:paraId="76685C78">
      <w:pPr>
        <w:pStyle w:val="15"/>
        <w:spacing w:before="0" w:beforeAutospacing="0" w:after="0" w:afterAutospacing="0" w:line="578" w:lineRule="exact"/>
        <w:ind w:firstLine="640" w:firstLineChars="200"/>
        <w:jc w:val="both"/>
        <w:outlineLvl w:val="2"/>
        <w:rPr>
          <w:rFonts w:hint="eastAsia"/>
          <w:lang w:eastAsia="zh-CN"/>
        </w:rPr>
      </w:pP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十四</w:t>
      </w:r>
      <w:r>
        <w:rPr>
          <w:rFonts w:ascii="仿宋_GB2312" w:hAnsi="仿宋" w:eastAsia="仿宋_GB2312" w:cs="Times New Roman"/>
          <w:kern w:val="2"/>
          <w:sz w:val="32"/>
          <w:szCs w:val="32"/>
        </w:rPr>
        <w:t>）完成市委、市政府交办的其他任务。</w:t>
      </w:r>
    </w:p>
    <w:p w14:paraId="0A33E255">
      <w:pPr>
        <w:pStyle w:val="6"/>
        <w:rPr>
          <w:rStyle w:val="30"/>
          <w:rFonts w:ascii="Times New Roman" w:hAnsi="Times New Roman"/>
          <w:b w:val="0"/>
          <w:bCs w:val="0"/>
          <w:color w:val="auto"/>
          <w:highlight w:val="none"/>
        </w:rPr>
      </w:pPr>
      <w:bookmarkStart w:id="8" w:name="_Toc15396601"/>
      <w:bookmarkStart w:id="9" w:name="_Toc15377200"/>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8"/>
      <w:bookmarkEnd w:id="9"/>
    </w:p>
    <w:p w14:paraId="746D55ED">
      <w:pPr>
        <w:snapToGrid w:val="0"/>
        <w:spacing w:line="578" w:lineRule="exact"/>
        <w:ind w:firstLine="640" w:firstLineChars="200"/>
        <w:rPr>
          <w:rFonts w:ascii="仿宋_GB2312" w:hAnsi="仿宋" w:eastAsia="仿宋_GB2312"/>
          <w:color w:val="0000FF"/>
          <w:sz w:val="32"/>
          <w:szCs w:val="32"/>
        </w:rPr>
      </w:pPr>
      <w:r>
        <w:rPr>
          <w:rFonts w:ascii="仿宋" w:hAnsi="仿宋" w:eastAsia="仿宋"/>
          <w:sz w:val="32"/>
          <w:szCs w:val="32"/>
        </w:rPr>
        <w:t>攀枝花市林业局局机关共设办公室</w:t>
      </w:r>
      <w:r>
        <w:rPr>
          <w:rFonts w:hint="eastAsia" w:ascii="仿宋" w:hAnsi="仿宋" w:eastAsia="仿宋"/>
          <w:sz w:val="32"/>
          <w:szCs w:val="32"/>
        </w:rPr>
        <w:t>（机关党委办公室）</w:t>
      </w:r>
      <w:r>
        <w:rPr>
          <w:rFonts w:ascii="仿宋" w:hAnsi="仿宋" w:eastAsia="仿宋"/>
          <w:sz w:val="32"/>
          <w:szCs w:val="32"/>
        </w:rPr>
        <w:t>、生态保护修复科（市绿化委员会办公室）、森林草原资源管理科</w:t>
      </w:r>
      <w:r>
        <w:rPr>
          <w:rFonts w:hint="eastAsia" w:ascii="仿宋" w:hAnsi="仿宋" w:eastAsia="仿宋"/>
          <w:sz w:val="32"/>
          <w:szCs w:val="32"/>
        </w:rPr>
        <w:t>（国有林管理科）</w:t>
      </w:r>
      <w:r>
        <w:rPr>
          <w:rFonts w:ascii="仿宋" w:hAnsi="仿宋" w:eastAsia="仿宋"/>
          <w:sz w:val="32"/>
          <w:szCs w:val="32"/>
        </w:rPr>
        <w:t>、森林草原防火科、</w:t>
      </w:r>
      <w:r>
        <w:rPr>
          <w:rFonts w:hint="eastAsia" w:ascii="仿宋" w:hAnsi="仿宋" w:eastAsia="仿宋"/>
          <w:sz w:val="32"/>
          <w:szCs w:val="32"/>
        </w:rPr>
        <w:t>规划改革与财务科、</w:t>
      </w:r>
      <w:r>
        <w:rPr>
          <w:rFonts w:ascii="仿宋" w:hAnsi="仿宋" w:eastAsia="仿宋"/>
          <w:sz w:val="32"/>
          <w:szCs w:val="32"/>
        </w:rPr>
        <w:t>林业产业发展科、自然保护地和野生动植物保护科、政策法规宣传科（行政审批科）</w:t>
      </w:r>
      <w:r>
        <w:rPr>
          <w:rFonts w:hint="eastAsia" w:ascii="仿宋" w:hAnsi="仿宋" w:eastAsia="仿宋"/>
          <w:sz w:val="32"/>
          <w:szCs w:val="32"/>
        </w:rPr>
        <w:t>、</w:t>
      </w:r>
      <w:r>
        <w:rPr>
          <w:rFonts w:ascii="仿宋" w:hAnsi="仿宋" w:eastAsia="仿宋"/>
          <w:sz w:val="32"/>
          <w:szCs w:val="32"/>
        </w:rPr>
        <w:t>林长制工作科、人事科</w:t>
      </w:r>
      <w:r>
        <w:rPr>
          <w:rFonts w:hint="eastAsia" w:ascii="仿宋" w:hAnsi="仿宋" w:eastAsia="仿宋"/>
          <w:sz w:val="32"/>
          <w:szCs w:val="32"/>
        </w:rPr>
        <w:t>共</w:t>
      </w:r>
      <w:r>
        <w:rPr>
          <w:rFonts w:ascii="仿宋" w:hAnsi="仿宋" w:eastAsia="仿宋"/>
          <w:sz w:val="32"/>
          <w:szCs w:val="32"/>
        </w:rPr>
        <w:t>10个科室，</w:t>
      </w:r>
      <w:r>
        <w:rPr>
          <w:rFonts w:ascii="仿宋" w:hAnsi="仿宋" w:eastAsia="仿宋"/>
          <w:color w:val="auto"/>
          <w:sz w:val="32"/>
          <w:szCs w:val="32"/>
        </w:rPr>
        <w:t>行政编制</w:t>
      </w:r>
      <w:r>
        <w:rPr>
          <w:rFonts w:hint="eastAsia" w:ascii="仿宋" w:hAnsi="仿宋" w:eastAsia="仿宋"/>
          <w:color w:val="auto"/>
          <w:sz w:val="32"/>
          <w:szCs w:val="32"/>
        </w:rPr>
        <w:t>26</w:t>
      </w:r>
      <w:r>
        <w:rPr>
          <w:rFonts w:ascii="仿宋" w:hAnsi="仿宋" w:eastAsia="仿宋"/>
          <w:color w:val="auto"/>
          <w:sz w:val="32"/>
          <w:szCs w:val="32"/>
        </w:rPr>
        <w:t>名，实有</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5</w:t>
      </w:r>
      <w:r>
        <w:rPr>
          <w:rFonts w:ascii="仿宋" w:hAnsi="仿宋" w:eastAsia="仿宋"/>
          <w:color w:val="auto"/>
          <w:sz w:val="32"/>
          <w:szCs w:val="32"/>
        </w:rPr>
        <w:t>人</w:t>
      </w:r>
      <w:r>
        <w:rPr>
          <w:rFonts w:hint="eastAsia" w:ascii="仿宋" w:hAnsi="仿宋" w:eastAsia="仿宋"/>
          <w:color w:val="auto"/>
          <w:sz w:val="32"/>
          <w:szCs w:val="32"/>
        </w:rPr>
        <w:t>。</w:t>
      </w:r>
      <w:r>
        <w:rPr>
          <w:rFonts w:hint="eastAsia" w:ascii="仿宋_GB2312" w:hAnsi="仿宋" w:eastAsia="仿宋_GB2312"/>
          <w:color w:val="auto"/>
          <w:sz w:val="32"/>
          <w:szCs w:val="32"/>
        </w:rPr>
        <w:t>其中市白坡山自然保护区管理处为市林业局所属二级单位，为公益一类事业单位，财务未独立核算。工勤编制6名，实有</w:t>
      </w: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人；86号文聘用人员1人；事业编制5名，实有</w:t>
      </w:r>
      <w:r>
        <w:rPr>
          <w:rFonts w:hint="eastAsia" w:ascii="仿宋_GB2312" w:hAnsi="仿宋" w:eastAsia="仿宋_GB2312"/>
          <w:color w:val="auto"/>
          <w:sz w:val="32"/>
          <w:szCs w:val="32"/>
          <w:lang w:val="en-US" w:eastAsia="zh-CN"/>
        </w:rPr>
        <w:t>5</w:t>
      </w:r>
      <w:r>
        <w:rPr>
          <w:rFonts w:hint="eastAsia" w:ascii="仿宋_GB2312" w:hAnsi="仿宋" w:eastAsia="仿宋_GB2312"/>
          <w:color w:val="auto"/>
          <w:sz w:val="32"/>
          <w:szCs w:val="32"/>
        </w:rPr>
        <w:t>人。</w:t>
      </w:r>
    </w:p>
    <w:p w14:paraId="7905C550">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（一）办公室</w:t>
      </w:r>
      <w:r>
        <w:rPr>
          <w:rFonts w:hint="eastAsia" w:ascii="仿宋_GB2312" w:hAnsi="仿宋" w:eastAsia="仿宋_GB2312" w:cs="Times New Roman"/>
          <w:kern w:val="2"/>
          <w:sz w:val="32"/>
          <w:szCs w:val="32"/>
        </w:rPr>
        <w:t>（机关党委办公室）</w:t>
      </w:r>
      <w:r>
        <w:rPr>
          <w:rFonts w:ascii="仿宋_GB2312" w:hAnsi="仿宋" w:eastAsia="仿宋_GB2312" w:cs="Times New Roman"/>
          <w:kern w:val="2"/>
          <w:sz w:val="32"/>
          <w:szCs w:val="32"/>
        </w:rPr>
        <w:t>。负责文电、会务、档案、机要等机关日常运转工作。承担保密、信息、接待、后勤、绩效管理、机关安全、政务公开和信访工作。负责综治和维稳工作。组织办理人大代表建议、政协委员提案。承担有关综合性文稿起草和史志编纂工作。组织开展全市林业对外交流。</w:t>
      </w:r>
      <w:r>
        <w:rPr>
          <w:rFonts w:hint="eastAsia" w:ascii="仿宋_GB2312" w:hAnsi="仿宋" w:eastAsia="仿宋_GB2312" w:cs="Times New Roman"/>
          <w:kern w:val="2"/>
          <w:sz w:val="32"/>
          <w:szCs w:val="32"/>
        </w:rPr>
        <w:t>承担机关党委日常工作。</w:t>
      </w:r>
    </w:p>
    <w:p w14:paraId="400CB17B">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二）生态保护修复科（市绿化委员会办公室）。负责全市城乡一体化建设绿化工作。承担全市造林、营林的质量管理。监督管理全市林木种苗、草种质量和生产经营行为。负责林木种苗、草种相关行政执法工作。指导种质资源保护工作。指导植树造林、封山育林和以植树种草等生物措施防治水土流失工作。承担以植树种草等生物防治措施防治荒漠化的工作。指导生态公益林、风景林和各类商品林的建设。指导全市国有林场（苗圃）的建设和发展。指导自然保护地的生态修复。监督管理林业和草原有害生物防治工作。承担古树名木保护、林业和草原应对气候变化相关工作。指导基层林业站的建设和管理。承担林草科技工作和数字林草建设。组织开展全民义务植树，承担市绿化委员会日常工作。</w:t>
      </w:r>
    </w:p>
    <w:p w14:paraId="69FF6EDF">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（三）森林草原资源管理科</w:t>
      </w:r>
      <w:r>
        <w:rPr>
          <w:rFonts w:hint="eastAsia" w:ascii="仿宋_GB2312" w:hAnsi="仿宋" w:eastAsia="仿宋_GB2312" w:cs="Times New Roman"/>
          <w:kern w:val="2"/>
          <w:sz w:val="32"/>
          <w:szCs w:val="32"/>
        </w:rPr>
        <w:t>（国有林管理科）</w:t>
      </w:r>
      <w:r>
        <w:rPr>
          <w:rFonts w:ascii="仿宋_GB2312" w:hAnsi="仿宋" w:eastAsia="仿宋_GB2312" w:cs="Times New Roman"/>
          <w:kern w:val="2"/>
          <w:sz w:val="32"/>
          <w:szCs w:val="32"/>
        </w:rPr>
        <w:t>。承担全市森林和草原资源动态监测和考核评价工作。拟订全市森林和草原资源保护发展的政策措施并组织实施。指导森林和草原资源的管理开发利用和林业、草原行政执法工作。编制全市森林经营方案并指导实施。编制全市森林采伐限额，监督林木凭证采伐和运输。承担林地相关管理工作，监督林地征用和占用。监督植树造林、封山育林的检查验收工作。承担市天然林资源保护工程领导小组日常工作。</w:t>
      </w:r>
      <w:r>
        <w:rPr>
          <w:rFonts w:hint="eastAsia" w:ascii="仿宋_GB2312" w:hAnsi="仿宋" w:eastAsia="仿宋_GB2312" w:cs="Times New Roman"/>
          <w:kern w:val="2"/>
          <w:sz w:val="32"/>
          <w:szCs w:val="32"/>
        </w:rPr>
        <w:t>负责全市国有森林资源的保护管理和业务指导工作。</w:t>
      </w:r>
    </w:p>
    <w:p w14:paraId="4052B755">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四）森林草原防火科。负责全市森林和草原防火相关工作。按照全市综合防灾减灾规划相关要求，承担森林和草原火灾防治规划编制工作并指导实施；组织、指导开展防火宣传教育、野外火源管控、日常巡护、隐患排查整治、监测预警、发送森林和草原火险信息、基础设施建设、专业防火队伍组建管理、未达到林草火灾应急预案中启动应急响应条件的初期火情火灾处置、牵头灾损评估等工作；负责督促检查全市森林草原防火工作。</w:t>
      </w:r>
    </w:p>
    <w:p w14:paraId="3828D65E">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五</w:t>
      </w: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规划改革与财务科。拟定全市林业和草原发展规划并监督实施。拟订林业发展的政策措施并指导实施。编制林业和草原年度生产计划和投资计划，监督管理预算内投资项目、市级以上财政专项资金及相关项目实施。负责全市林业重点工程资金管理使用情况的监督、督查。指导全市生态扶贫和相关生态补偿制度的建立和实施。负责林业和草原综合统计。承担集体林权制度改革，牵头国有林区、国有林场、草原等改革相关工作。指导涉外援外项目的实施。指导农村林地林木承包经营、流转管理，政策性森林保险及金融贷款工作。负责资金稽查、绩效评价。组织编制部门预决算，组织和监督部门预算执行。负责机关财务工作，指导直属单位财务管理和国有资产管理工作。</w:t>
      </w:r>
    </w:p>
    <w:p w14:paraId="2DA38F4D">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六）林业产业发展科。拟订全市林业和草原产业发展规划、工作计划、政策措施并监督实施。组织全市重点产业发展的项目论证、可行性规划并组织实施。组织推进林业产业园区、重点企业、重大项目建设。承担林业科技助农增收项目的编制和实施。推进林业和草原绿色产业发展，指导林业和草原生态旅游产业发展。指导执行林业生产安全技术操作制度和规程。负责林业系统安全生产、职业健康和防灾、减灾工作。</w:t>
      </w:r>
    </w:p>
    <w:p w14:paraId="404C7F5B">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七）自然保护地和野生动植物保护科。监督管理全市各类自然保护地，提出新建、调整各类自然保护地的审核建议。组织实施各类自然保护地生态修复工作。组织开展全市陆生野生动植物资源调查和资源状况评估，监督管理陆生野生动植物保护工作。承办生物多样性保护有关工作。指导陆生野生动植物的救护繁育、栖息地恢复发展、疫源疫病监测。承担全市湿地资源动态监测工作，指导湿地保护工作，组织实施湿地生态修复、生态补偿工作。</w:t>
      </w:r>
    </w:p>
    <w:p w14:paraId="1D05521E">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八）政策法规宣传科（行政审批科）。负责相关法律法规及林业工作的宣传教育。承担行政执法监督、行政应诉、行政复议和听证等有关工作。监督指导本行业综合行政执法工作。牵头协调推进林业系统“放管服”改革，承担审批服务便民化及公共服务有关工作，集中承担市本级有关审批服务事项的受理、审批等工作，推进纳入一体化政务服务平台。承担本系统权责清单制度建设、动态调整等工作。</w:t>
      </w:r>
    </w:p>
    <w:p w14:paraId="6214561A">
      <w:pPr>
        <w:pStyle w:val="15"/>
        <w:spacing w:before="0" w:beforeAutospacing="0" w:after="0" w:afterAutospacing="0" w:line="578" w:lineRule="exact"/>
        <w:ind w:firstLine="640" w:firstLineChars="200"/>
        <w:jc w:val="both"/>
        <w:rPr>
          <w:rFonts w:ascii="仿宋_GB2312" w:hAnsi="仿宋" w:eastAsia="仿宋_GB2312" w:cs="Times New Roman"/>
          <w:kern w:val="2"/>
          <w:sz w:val="32"/>
          <w:szCs w:val="32"/>
        </w:rPr>
      </w:pPr>
      <w:r>
        <w:rPr>
          <w:rFonts w:ascii="仿宋_GB2312" w:hAnsi="仿宋" w:eastAsia="仿宋_GB2312" w:cs="Times New Roman"/>
          <w:kern w:val="2"/>
          <w:sz w:val="32"/>
          <w:szCs w:val="32"/>
        </w:rPr>
        <w:t>（</w:t>
      </w:r>
      <w:r>
        <w:rPr>
          <w:rFonts w:hint="eastAsia" w:ascii="仿宋_GB2312" w:hAnsi="仿宋" w:eastAsia="仿宋_GB2312" w:cs="Times New Roman"/>
          <w:kern w:val="2"/>
          <w:sz w:val="32"/>
          <w:szCs w:val="32"/>
        </w:rPr>
        <w:t>九</w:t>
      </w:r>
      <w:r>
        <w:rPr>
          <w:rFonts w:ascii="仿宋_GB2312" w:hAnsi="仿宋" w:eastAsia="仿宋_GB2312" w:cs="Times New Roman"/>
          <w:kern w:val="2"/>
          <w:sz w:val="32"/>
          <w:szCs w:val="32"/>
        </w:rPr>
        <w:t>）林长制工作科</w:t>
      </w:r>
      <w:r>
        <w:rPr>
          <w:rFonts w:hint="eastAsia" w:ascii="仿宋_GB2312" w:hAnsi="仿宋" w:eastAsia="仿宋_GB2312" w:cs="Times New Roman"/>
          <w:kern w:val="2"/>
          <w:sz w:val="32"/>
          <w:szCs w:val="32"/>
        </w:rPr>
        <w:t>。负责市级林长制办公室日常工作。拟订全市推进林长制相关配套制度。组织开展林长制实施情况督察督导和考核工作。负责市林业局的内部审计工作。</w:t>
      </w:r>
    </w:p>
    <w:p w14:paraId="697272E2">
      <w:pPr>
        <w:pStyle w:val="15"/>
        <w:spacing w:before="0" w:beforeAutospacing="0" w:after="0" w:afterAutospacing="0" w:line="578" w:lineRule="exact"/>
        <w:ind w:firstLine="640" w:firstLineChars="200"/>
        <w:jc w:val="both"/>
        <w:rPr>
          <w:rFonts w:ascii="Times New Roman" w:hAnsi="Times New Roman" w:eastAsia="仿宋"/>
          <w:color w:val="auto"/>
          <w:kern w:val="0"/>
          <w:sz w:val="32"/>
          <w:szCs w:val="32"/>
          <w:highlight w:val="none"/>
        </w:rPr>
      </w:pPr>
      <w:r>
        <w:rPr>
          <w:rFonts w:ascii="仿宋_GB2312" w:hAnsi="仿宋" w:eastAsia="仿宋_GB2312" w:cs="Times New Roman"/>
          <w:kern w:val="2"/>
          <w:sz w:val="32"/>
          <w:szCs w:val="32"/>
        </w:rPr>
        <w:t>（十）人事科。负责机关的干部人事、机构编制、劳动工资、社会保险、教育培训和离退休人员管理工作，并指导所属事业单位开展相应工作。指导全市林业队伍建设和人才发展规划的实施。负责全市林业</w:t>
      </w:r>
      <w:r>
        <w:rPr>
          <w:rFonts w:hint="eastAsia" w:ascii="仿宋_GB2312" w:hAnsi="仿宋" w:eastAsia="仿宋_GB2312" w:cs="Times New Roman"/>
          <w:kern w:val="2"/>
          <w:sz w:val="32"/>
          <w:szCs w:val="32"/>
        </w:rPr>
        <w:t>中、</w:t>
      </w:r>
      <w:r>
        <w:rPr>
          <w:rFonts w:ascii="仿宋_GB2312" w:hAnsi="仿宋" w:eastAsia="仿宋_GB2312" w:cs="Times New Roman"/>
          <w:kern w:val="2"/>
          <w:sz w:val="32"/>
          <w:szCs w:val="32"/>
        </w:rPr>
        <w:t>初级职称评审工作及林业职称管理工作。</w:t>
      </w:r>
      <w:r>
        <w:rPr>
          <w:rFonts w:ascii="Times New Roman" w:hAnsi="Times New Roman" w:eastAsia="仿宋"/>
          <w:color w:val="auto"/>
          <w:sz w:val="32"/>
          <w:szCs w:val="32"/>
          <w:highlight w:val="none"/>
        </w:rPr>
        <w:br w:type="page"/>
      </w:r>
    </w:p>
    <w:p w14:paraId="7C1F9250">
      <w:pPr>
        <w:pStyle w:val="5"/>
        <w:jc w:val="center"/>
        <w:rPr>
          <w:rFonts w:ascii="Times New Roman" w:hAnsi="Times New Roman"/>
          <w:color w:val="auto"/>
          <w:highlight w:val="none"/>
        </w:rPr>
      </w:pPr>
      <w:bookmarkStart w:id="10" w:name="_Toc15377204"/>
      <w:bookmarkStart w:id="1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0"/>
      <w:bookmarkEnd w:id="11"/>
    </w:p>
    <w:p w14:paraId="6261B4D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2" w:name="_Toc15396603"/>
      <w:bookmarkStart w:id="13"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2"/>
      <w:bookmarkEnd w:id="13"/>
    </w:p>
    <w:p w14:paraId="175756F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Times New Roman" w:hAnsi="Times New Roman" w:eastAsia="仿宋_GB2312" w:cs="仿宋_GB2312"/>
          <w:color w:val="auto"/>
          <w:sz w:val="32"/>
          <w:szCs w:val="32"/>
          <w:highlight w:val="none"/>
          <w:lang w:val="en-US" w:eastAsia="zh-CN"/>
        </w:rPr>
        <w:t>2858.64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w:t>
      </w:r>
      <w:r>
        <w:rPr>
          <w:rFonts w:hint="eastAsia" w:ascii="Times New Roman" w:hAnsi="Times New Roman" w:eastAsia="仿宋_GB2312" w:cs="仿宋_GB2312"/>
          <w:color w:val="auto"/>
          <w:sz w:val="32"/>
          <w:szCs w:val="32"/>
          <w:highlight w:val="none"/>
          <w:lang w:val="en-US" w:eastAsia="zh-CN"/>
        </w:rPr>
        <w:t>1029.38</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Times New Roman" w:hAnsi="Times New Roman" w:eastAsia="仿宋_GB2312" w:cs="仿宋_GB2312"/>
          <w:color w:val="auto"/>
          <w:sz w:val="32"/>
          <w:szCs w:val="32"/>
          <w:highlight w:val="none"/>
          <w:lang w:val="en-US" w:eastAsia="zh-CN"/>
        </w:rPr>
        <w:t>26.48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color w:val="auto"/>
          <w:sz w:val="32"/>
          <w:szCs w:val="32"/>
          <w:lang w:eastAsia="zh-CN"/>
        </w:rPr>
        <w:t>一部分人员调到</w:t>
      </w:r>
      <w:r>
        <w:rPr>
          <w:rFonts w:hint="eastAsia" w:ascii="仿宋" w:hAnsi="仿宋" w:eastAsia="仿宋"/>
          <w:color w:val="auto"/>
          <w:sz w:val="32"/>
          <w:szCs w:val="32"/>
        </w:rPr>
        <w:t>市森林病虫防治检疫站</w:t>
      </w:r>
      <w:r>
        <w:rPr>
          <w:rFonts w:hint="eastAsia" w:ascii="仿宋" w:hAnsi="仿宋" w:eastAsia="仿宋"/>
          <w:color w:val="auto"/>
          <w:sz w:val="32"/>
          <w:szCs w:val="32"/>
          <w:lang w:eastAsia="zh-CN"/>
        </w:rPr>
        <w:t>，人员开支减少，且本年度项目较上年减少，项目支出减少。</w:t>
      </w:r>
    </w:p>
    <w:p w14:paraId="58BB863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ascii="Times New Roman" w:hAnsi="Times New Roman" w:eastAsia="黑体"/>
          <w:color w:val="auto"/>
          <w:sz w:val="32"/>
          <w:szCs w:val="32"/>
          <w:highlight w:val="none"/>
          <w:lang w:eastAsia="zh-CN"/>
        </w:rPr>
      </w:pPr>
      <w:bookmarkStart w:id="14" w:name="_Toc15377206"/>
      <w:bookmarkStart w:id="15" w:name="_Toc15396604"/>
      <w:r>
        <w:rPr>
          <w:rFonts w:hint="eastAsia" w:eastAsia="仿宋"/>
          <w:lang w:eastAsia="zh-CN"/>
        </w:rPr>
        <w:drawing>
          <wp:anchor distT="0" distB="0" distL="114300" distR="114300" simplePos="0" relativeHeight="251660288" behindDoc="0" locked="0" layoutInCell="1" allowOverlap="1">
            <wp:simplePos x="0" y="0"/>
            <wp:positionH relativeFrom="column">
              <wp:posOffset>419100</wp:posOffset>
            </wp:positionH>
            <wp:positionV relativeFrom="paragraph">
              <wp:posOffset>76200</wp:posOffset>
            </wp:positionV>
            <wp:extent cx="3955415" cy="2457450"/>
            <wp:effectExtent l="0" t="0" r="6985" b="0"/>
            <wp:wrapTopAndBottom/>
            <wp:docPr id="1" name="图片 1" descr="175393222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53932223275"/>
                    <pic:cNvPicPr>
                      <a:picLocks noChangeAspect="1"/>
                    </pic:cNvPicPr>
                  </pic:nvPicPr>
                  <pic:blipFill>
                    <a:blip r:embed="rId10"/>
                    <a:stretch>
                      <a:fillRect/>
                    </a:stretch>
                  </pic:blipFill>
                  <pic:spPr>
                    <a:xfrm>
                      <a:off x="0" y="0"/>
                      <a:ext cx="3955415" cy="2457450"/>
                    </a:xfrm>
                    <a:prstGeom prst="rect">
                      <a:avLst/>
                    </a:prstGeom>
                    <a:noFill/>
                    <a:ln>
                      <a:noFill/>
                    </a:ln>
                  </pic:spPr>
                </pic:pic>
              </a:graphicData>
            </a:graphic>
          </wp:anchor>
        </w:drawing>
      </w:r>
      <w:r>
        <w:rPr>
          <w:rFonts w:hint="eastAsia" w:ascii="Times New Roman" w:hAnsi="Times New Roman" w:eastAsia="黑体"/>
          <w:color w:val="auto"/>
          <w:sz w:val="32"/>
          <w:szCs w:val="32"/>
          <w:highlight w:val="none"/>
          <w:lang w:eastAsia="zh-CN"/>
        </w:rPr>
        <w:t>二、收入决算情况说明</w:t>
      </w:r>
      <w:bookmarkEnd w:id="14"/>
      <w:bookmarkEnd w:id="15"/>
    </w:p>
    <w:p w14:paraId="11A74CC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drawing>
          <wp:anchor distT="0" distB="0" distL="114300" distR="114300" simplePos="0" relativeHeight="251661312" behindDoc="0" locked="0" layoutInCell="1" allowOverlap="1">
            <wp:simplePos x="0" y="0"/>
            <wp:positionH relativeFrom="column">
              <wp:posOffset>654685</wp:posOffset>
            </wp:positionH>
            <wp:positionV relativeFrom="paragraph">
              <wp:posOffset>1336675</wp:posOffset>
            </wp:positionV>
            <wp:extent cx="3863340" cy="2178050"/>
            <wp:effectExtent l="4445" t="4445" r="18415" b="825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Times New Roman" w:hAnsi="Times New Roman" w:eastAsia="仿宋_GB2312" w:cs="仿宋_GB2312"/>
          <w:color w:val="auto"/>
          <w:sz w:val="32"/>
          <w:szCs w:val="32"/>
          <w:highlight w:val="none"/>
          <w:lang w:val="en-US" w:eastAsia="zh-CN"/>
        </w:rPr>
        <w:t>2024年度本年收入合计2047.22万元，其中：一般公共预算财政拨款收入1997.22万元，占97.55%；政府性基金预算财政拨款收入50万元，占2.44%</w:t>
      </w:r>
      <w:r>
        <w:rPr>
          <w:rFonts w:hint="eastAsia" w:eastAsia="仿宋_GB2312" w:cs="仿宋_GB2312"/>
          <w:color w:val="auto"/>
          <w:sz w:val="32"/>
          <w:szCs w:val="32"/>
          <w:highlight w:val="none"/>
          <w:lang w:val="en-US" w:eastAsia="zh-CN"/>
        </w:rPr>
        <w:t>；</w:t>
      </w:r>
      <w:r>
        <w:rPr>
          <w:rFonts w:hint="eastAsia" w:ascii="Times New Roman" w:hAnsi="Times New Roman" w:eastAsia="仿宋_GB2312" w:cs="仿宋_GB2312"/>
          <w:sz w:val="32"/>
          <w:szCs w:val="32"/>
        </w:rPr>
        <w:t>国有资本经营预算财政拨款收入0万元，占0%；上级补助收入0万元，占0%；事业收入0万元，占0%；经营收入0万元，占0%；附属单位上缴收入0万元，占0%；其他收入0万元，占0%。</w:t>
      </w:r>
    </w:p>
    <w:p w14:paraId="6781F95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6" w:name="_Toc15396605"/>
      <w:bookmarkStart w:id="17"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6"/>
      <w:bookmarkEnd w:id="17"/>
    </w:p>
    <w:p w14:paraId="1A4CB5FC">
      <w:pPr>
        <w:spacing w:line="600" w:lineRule="exact"/>
        <w:ind w:firstLine="640" w:firstLineChars="200"/>
        <w:outlineLvl w:val="1"/>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sz w:val="32"/>
          <w:szCs w:val="32"/>
          <w:highlight w:val="none"/>
          <w:lang w:val="en-US" w:eastAsia="zh-CN"/>
        </w:rPr>
        <w:t>024年度本年支出合计2047.22万元，其中：基本支出1054.25万元，占51.49%；项目支出992.97万元，占48.5</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lang w:val="en-US" w:eastAsia="zh-CN"/>
        </w:rPr>
        <w:t>%。上缴上级支出0万元，占0%；经营支出0万元，占0%；对附属单位补助支出0万元，占0%。</w:t>
      </w:r>
    </w:p>
    <w:p w14:paraId="3BC7738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Style w:val="30"/>
          <w:rFonts w:ascii="Times New Roman" w:hAnsi="Times New Roman" w:eastAsia="黑体"/>
          <w:b w:val="0"/>
          <w:color w:val="auto"/>
          <w:highlight w:val="none"/>
        </w:rPr>
      </w:pPr>
      <w:r>
        <w:drawing>
          <wp:anchor distT="0" distB="0" distL="114300" distR="114300" simplePos="0" relativeHeight="251662336" behindDoc="0" locked="0" layoutInCell="1" allowOverlap="1">
            <wp:simplePos x="0" y="0"/>
            <wp:positionH relativeFrom="column">
              <wp:posOffset>779780</wp:posOffset>
            </wp:positionH>
            <wp:positionV relativeFrom="paragraph">
              <wp:posOffset>125730</wp:posOffset>
            </wp:positionV>
            <wp:extent cx="3756660" cy="2425700"/>
            <wp:effectExtent l="4445" t="4445" r="10795" b="825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18" w:name="_Toc15377208"/>
      <w:bookmarkStart w:id="19" w:name="_Toc15396606"/>
      <w:r>
        <w:rPr>
          <w:rFonts w:hint="eastAsia"/>
          <w:lang w:val="en-US" w:eastAsia="zh-CN"/>
        </w:rPr>
        <w:t xml:space="preserve">  </w:t>
      </w: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8"/>
      <w:bookmarkEnd w:id="19"/>
    </w:p>
    <w:p w14:paraId="3B3CE691">
      <w:pPr>
        <w:spacing w:line="600" w:lineRule="exact"/>
        <w:ind w:firstLine="640" w:firstLineChars="200"/>
        <w:rPr>
          <w:rFonts w:hint="eastAsia" w:ascii="仿宋" w:hAnsi="仿宋" w:eastAsia="仿宋"/>
          <w:color w:val="auto"/>
          <w:sz w:val="32"/>
          <w:szCs w:val="32"/>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2024年度财政拨款收入、支出总计均为2858.64万元。与2023年度相比，财政拨款收入总计、支出</w:t>
      </w:r>
      <w:r>
        <w:rPr>
          <w:rFonts w:hint="eastAsia" w:eastAsia="仿宋_GB2312" w:cs="仿宋_GB2312"/>
          <w:color w:val="auto"/>
          <w:kern w:val="2"/>
          <w:sz w:val="32"/>
          <w:szCs w:val="32"/>
          <w:highlight w:val="none"/>
          <w:lang w:val="en-US" w:eastAsia="zh-CN" w:bidi="ar-SA"/>
        </w:rPr>
        <w:t>总计</w:t>
      </w:r>
      <w:r>
        <w:rPr>
          <w:rFonts w:hint="eastAsia" w:ascii="仿宋" w:hAnsi="仿宋" w:eastAsia="仿宋"/>
          <w:sz w:val="32"/>
          <w:szCs w:val="32"/>
        </w:rPr>
        <w:t>各</w:t>
      </w:r>
      <w:r>
        <w:rPr>
          <w:rFonts w:hint="eastAsia" w:ascii="仿宋" w:hAnsi="仿宋" w:eastAsia="仿宋"/>
          <w:sz w:val="32"/>
          <w:szCs w:val="32"/>
          <w:lang w:eastAsia="zh-CN"/>
        </w:rPr>
        <w:t>减少</w:t>
      </w:r>
      <w:r>
        <w:rPr>
          <w:rFonts w:hint="eastAsia" w:ascii="Times New Roman" w:hAnsi="Times New Roman" w:eastAsia="仿宋_GB2312" w:cs="仿宋_GB2312"/>
          <w:color w:val="auto"/>
          <w:kern w:val="2"/>
          <w:sz w:val="32"/>
          <w:szCs w:val="32"/>
          <w:highlight w:val="none"/>
          <w:lang w:val="en-US" w:eastAsia="zh-CN" w:bidi="ar-SA"/>
        </w:rPr>
        <w:t>1029.38</w:t>
      </w:r>
      <w:r>
        <w:rPr>
          <w:rFonts w:hint="eastAsia" w:ascii="仿宋" w:hAnsi="仿宋" w:eastAsia="仿宋"/>
          <w:sz w:val="32"/>
          <w:szCs w:val="32"/>
        </w:rPr>
        <w:t>万元</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 w:hAnsi="仿宋" w:eastAsia="仿宋"/>
          <w:color w:val="auto"/>
          <w:sz w:val="32"/>
          <w:szCs w:val="32"/>
          <w:lang w:eastAsia="zh-CN"/>
        </w:rPr>
        <w:t>一部分人员调到</w:t>
      </w:r>
      <w:r>
        <w:rPr>
          <w:rFonts w:hint="eastAsia" w:ascii="仿宋" w:hAnsi="仿宋" w:eastAsia="仿宋"/>
          <w:color w:val="auto"/>
          <w:sz w:val="32"/>
          <w:szCs w:val="32"/>
        </w:rPr>
        <w:t>市森林病虫防治检疫站</w:t>
      </w:r>
      <w:r>
        <w:rPr>
          <w:rFonts w:hint="eastAsia" w:ascii="仿宋" w:hAnsi="仿宋" w:eastAsia="仿宋"/>
          <w:color w:val="auto"/>
          <w:sz w:val="32"/>
          <w:szCs w:val="32"/>
          <w:lang w:eastAsia="zh-CN"/>
        </w:rPr>
        <w:t>，人员开支减少，且本年度项目较上年减少，项目支出减少。</w:t>
      </w:r>
    </w:p>
    <w:p w14:paraId="4EAA9CB9">
      <w:pPr>
        <w:pStyle w:val="8"/>
        <w:jc w:val="center"/>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4114800" cy="2386330"/>
            <wp:effectExtent l="4445" t="4445" r="1460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FABBE65">
      <w:pPr>
        <w:spacing w:line="600" w:lineRule="exact"/>
        <w:ind w:firstLine="640" w:firstLineChars="200"/>
        <w:outlineLvl w:val="1"/>
        <w:rPr>
          <w:rStyle w:val="30"/>
          <w:rFonts w:ascii="Times New Roman" w:hAnsi="Times New Roman" w:eastAsia="黑体"/>
          <w:b w:val="0"/>
          <w:color w:val="auto"/>
          <w:highlight w:val="none"/>
        </w:rPr>
      </w:pPr>
      <w:bookmarkStart w:id="20" w:name="_Toc15396607"/>
      <w:bookmarkStart w:id="21"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0"/>
      <w:bookmarkEnd w:id="21"/>
    </w:p>
    <w:p w14:paraId="1B0A218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2"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2"/>
    </w:p>
    <w:p w14:paraId="6DD5DC87">
      <w:pPr>
        <w:spacing w:line="600" w:lineRule="exact"/>
        <w:ind w:firstLine="640"/>
        <w:rPr>
          <w:rFonts w:hint="eastAsia" w:ascii="仿宋" w:hAnsi="仿宋" w:eastAsia="仿宋"/>
          <w:color w:val="auto"/>
          <w:sz w:val="32"/>
          <w:szCs w:val="32"/>
          <w:lang w:eastAsia="zh-CN"/>
        </w:rPr>
      </w:pPr>
      <w:r>
        <w:rPr>
          <w:rFonts w:hint="eastAsia" w:ascii="仿宋" w:hAnsi="仿宋" w:eastAsia="仿宋"/>
          <w:color w:val="auto"/>
          <w:sz w:val="32"/>
          <w:szCs w:val="32"/>
          <w:lang w:eastAsia="zh-CN"/>
        </w:rPr>
        <w:drawing>
          <wp:anchor distT="0" distB="0" distL="114300" distR="114300" simplePos="0" relativeHeight="251663360" behindDoc="0" locked="0" layoutInCell="1" allowOverlap="1">
            <wp:simplePos x="0" y="0"/>
            <wp:positionH relativeFrom="column">
              <wp:posOffset>480060</wp:posOffset>
            </wp:positionH>
            <wp:positionV relativeFrom="paragraph">
              <wp:posOffset>1925955</wp:posOffset>
            </wp:positionV>
            <wp:extent cx="4178935" cy="2196465"/>
            <wp:effectExtent l="4445" t="5080" r="7620" b="825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Times New Roman" w:hAnsi="Times New Roman" w:eastAsia="仿宋_GB2312" w:cs="仿宋_GB2312"/>
          <w:color w:val="auto"/>
          <w:kern w:val="2"/>
          <w:sz w:val="32"/>
          <w:szCs w:val="32"/>
          <w:highlight w:val="none"/>
          <w:lang w:val="en-US" w:eastAsia="zh-CN" w:bidi="ar-SA"/>
        </w:rPr>
        <w:t>2024</w:t>
      </w:r>
      <w:r>
        <w:rPr>
          <w:rFonts w:hint="eastAsia" w:ascii="仿宋_GB2312" w:hAnsi="仿宋_GB2312" w:eastAsia="仿宋_GB2312" w:cs="仿宋_GB2312"/>
          <w:color w:val="auto"/>
          <w:kern w:val="2"/>
          <w:sz w:val="32"/>
          <w:szCs w:val="32"/>
          <w:highlight w:val="none"/>
          <w:lang w:val="en-US" w:eastAsia="zh-CN" w:bidi="ar-SA"/>
        </w:rPr>
        <w:t>年度一般公共预算财政拨款支出</w:t>
      </w:r>
      <w:r>
        <w:rPr>
          <w:rFonts w:hint="eastAsia" w:ascii="Times New Roman" w:hAnsi="Times New Roman" w:eastAsia="仿宋_GB2312" w:cs="仿宋_GB2312"/>
          <w:color w:val="auto"/>
          <w:kern w:val="2"/>
          <w:sz w:val="32"/>
          <w:szCs w:val="32"/>
          <w:highlight w:val="none"/>
          <w:lang w:val="en-US" w:eastAsia="zh-CN" w:bidi="ar-SA"/>
        </w:rPr>
        <w:t>1997.22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color w:val="auto"/>
          <w:kern w:val="2"/>
          <w:sz w:val="32"/>
          <w:szCs w:val="32"/>
          <w:highlight w:val="none"/>
          <w:lang w:val="en-US" w:eastAsia="zh-CN" w:bidi="ar-SA"/>
        </w:rPr>
        <w:t>97.55%</w:t>
      </w:r>
      <w:r>
        <w:rPr>
          <w:rFonts w:hint="eastAsia" w:ascii="仿宋_GB2312" w:hAnsi="仿宋_GB2312"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hAnsi="仿宋_GB2312" w:eastAsia="仿宋_GB2312" w:cs="仿宋_GB2312"/>
          <w:color w:val="auto"/>
          <w:kern w:val="2"/>
          <w:sz w:val="32"/>
          <w:szCs w:val="32"/>
          <w:highlight w:val="none"/>
          <w:lang w:val="en-US" w:eastAsia="zh-CN" w:bidi="ar-SA"/>
        </w:rPr>
        <w:t>年度相比，</w:t>
      </w:r>
      <w:r>
        <w:rPr>
          <w:rFonts w:hint="eastAsia" w:ascii="仿宋" w:hAnsi="仿宋" w:eastAsia="仿宋"/>
          <w:sz w:val="32"/>
          <w:szCs w:val="32"/>
        </w:rPr>
        <w:t>一般公共预算财政拨款支出</w:t>
      </w:r>
      <w:r>
        <w:rPr>
          <w:rFonts w:hint="eastAsia" w:ascii="仿宋" w:hAnsi="仿宋" w:eastAsia="仿宋"/>
          <w:sz w:val="32"/>
          <w:szCs w:val="32"/>
          <w:lang w:eastAsia="zh-CN"/>
        </w:rPr>
        <w:t>减少</w:t>
      </w:r>
      <w:r>
        <w:rPr>
          <w:rFonts w:hint="eastAsia" w:ascii="Times New Roman" w:hAnsi="Times New Roman" w:eastAsia="仿宋_GB2312" w:cs="仿宋_GB2312"/>
          <w:color w:val="auto"/>
          <w:kern w:val="2"/>
          <w:sz w:val="32"/>
          <w:szCs w:val="32"/>
          <w:highlight w:val="none"/>
          <w:lang w:val="en-US" w:eastAsia="zh-CN" w:bidi="ar-SA"/>
        </w:rPr>
        <w:t>1079.38</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Times New Roman" w:hAnsi="Times New Roman" w:eastAsia="仿宋_GB2312" w:cs="仿宋_GB2312"/>
          <w:color w:val="auto"/>
          <w:kern w:val="2"/>
          <w:sz w:val="32"/>
          <w:szCs w:val="32"/>
          <w:highlight w:val="none"/>
          <w:lang w:val="en-US" w:eastAsia="zh-CN" w:bidi="ar-SA"/>
        </w:rPr>
        <w:t>35.08%</w:t>
      </w:r>
      <w:r>
        <w:rPr>
          <w:rFonts w:hint="eastAsia" w:ascii="仿宋" w:hAnsi="仿宋" w:eastAsia="仿宋"/>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eastAsia="zh-CN"/>
        </w:rPr>
        <w:t>一部分人员调到</w:t>
      </w:r>
      <w:r>
        <w:rPr>
          <w:rFonts w:hint="eastAsia" w:ascii="仿宋" w:hAnsi="仿宋" w:eastAsia="仿宋"/>
          <w:color w:val="auto"/>
          <w:sz w:val="32"/>
          <w:szCs w:val="32"/>
        </w:rPr>
        <w:t>市森林病虫防治检疫站</w:t>
      </w:r>
      <w:r>
        <w:rPr>
          <w:rFonts w:hint="eastAsia" w:ascii="仿宋" w:hAnsi="仿宋" w:eastAsia="仿宋"/>
          <w:color w:val="auto"/>
          <w:sz w:val="32"/>
          <w:szCs w:val="32"/>
          <w:lang w:eastAsia="zh-CN"/>
        </w:rPr>
        <w:t>，人员开支减少，且本年度项目较上年减少，项目支出减少。</w:t>
      </w:r>
    </w:p>
    <w:p w14:paraId="09F8E23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3"/>
    </w:p>
    <w:p w14:paraId="12E30A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2024年度一般公共预算财政拨款支出1997.22</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Times New Roman" w:hAnsi="Times New Roman" w:eastAsia="仿宋_GB2312" w:cs="仿宋_GB2312"/>
          <w:color w:val="auto"/>
          <w:kern w:val="2"/>
          <w:sz w:val="32"/>
          <w:szCs w:val="32"/>
          <w:highlight w:val="none"/>
          <w:lang w:val="en-US" w:eastAsia="zh-CN" w:bidi="ar-SA"/>
        </w:rPr>
        <w:t>2.22</w:t>
      </w:r>
      <w:r>
        <w:rPr>
          <w:rFonts w:hint="eastAsia" w:ascii="仿宋" w:hAnsi="仿宋" w:eastAsia="仿宋"/>
          <w:sz w:val="32"/>
          <w:szCs w:val="32"/>
        </w:rPr>
        <w:t>万元，占</w:t>
      </w:r>
      <w:r>
        <w:rPr>
          <w:rFonts w:hint="eastAsia" w:ascii="Times New Roman" w:hAnsi="Times New Roman" w:eastAsia="仿宋_GB2312" w:cs="仿宋_GB2312"/>
          <w:color w:val="auto"/>
          <w:kern w:val="2"/>
          <w:sz w:val="32"/>
          <w:szCs w:val="32"/>
          <w:highlight w:val="none"/>
          <w:lang w:val="en-US" w:eastAsia="zh-CN" w:bidi="ar-SA"/>
        </w:rPr>
        <w:t>0.11%</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Times New Roman" w:hAnsi="Times New Roman" w:eastAsia="仿宋_GB2312" w:cs="仿宋_GB2312"/>
          <w:color w:val="auto"/>
          <w:kern w:val="2"/>
          <w:sz w:val="32"/>
          <w:szCs w:val="32"/>
          <w:highlight w:val="none"/>
          <w:lang w:val="en-US" w:eastAsia="zh-CN" w:bidi="ar-SA"/>
        </w:rPr>
        <w:t>263.59</w:t>
      </w:r>
      <w:r>
        <w:rPr>
          <w:rFonts w:hint="eastAsia" w:ascii="仿宋" w:hAnsi="仿宋" w:eastAsia="仿宋"/>
          <w:sz w:val="32"/>
          <w:szCs w:val="32"/>
        </w:rPr>
        <w:t>万元，占</w:t>
      </w:r>
      <w:r>
        <w:rPr>
          <w:rFonts w:hint="eastAsia" w:ascii="Times New Roman" w:hAnsi="Times New Roman" w:eastAsia="仿宋_GB2312" w:cs="仿宋_GB2312"/>
          <w:color w:val="auto"/>
          <w:kern w:val="2"/>
          <w:sz w:val="32"/>
          <w:szCs w:val="32"/>
          <w:highlight w:val="none"/>
          <w:lang w:val="en-US" w:eastAsia="zh-CN" w:bidi="ar-SA"/>
        </w:rPr>
        <w:t>13.20%</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Times New Roman" w:hAnsi="Times New Roman" w:eastAsia="仿宋_GB2312" w:cs="仿宋_GB2312"/>
          <w:color w:val="auto"/>
          <w:kern w:val="2"/>
          <w:sz w:val="32"/>
          <w:szCs w:val="32"/>
          <w:highlight w:val="none"/>
          <w:lang w:val="en-US" w:eastAsia="zh-CN" w:bidi="ar-SA"/>
        </w:rPr>
        <w:t>45.84</w:t>
      </w:r>
      <w:r>
        <w:rPr>
          <w:rFonts w:hint="eastAsia" w:ascii="仿宋" w:hAnsi="仿宋" w:eastAsia="仿宋"/>
          <w:sz w:val="32"/>
          <w:szCs w:val="32"/>
        </w:rPr>
        <w:t>万元，占</w:t>
      </w:r>
      <w:r>
        <w:rPr>
          <w:rFonts w:hint="eastAsia" w:ascii="Times New Roman" w:hAnsi="Times New Roman" w:eastAsia="仿宋_GB2312" w:cs="仿宋_GB2312"/>
          <w:color w:val="auto"/>
          <w:kern w:val="2"/>
          <w:sz w:val="32"/>
          <w:szCs w:val="32"/>
          <w:highlight w:val="none"/>
          <w:lang w:val="en-US" w:eastAsia="zh-CN" w:bidi="ar-SA"/>
        </w:rPr>
        <w:t>2.30%</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Times New Roman" w:hAnsi="Times New Roman" w:eastAsia="仿宋_GB2312" w:cs="仿宋_GB2312"/>
          <w:color w:val="auto"/>
          <w:kern w:val="2"/>
          <w:sz w:val="32"/>
          <w:szCs w:val="32"/>
          <w:highlight w:val="none"/>
          <w:lang w:val="en-US" w:eastAsia="zh-CN" w:bidi="ar-SA"/>
        </w:rPr>
        <w:t>1620.94</w:t>
      </w:r>
      <w:r>
        <w:rPr>
          <w:rFonts w:hint="eastAsia" w:ascii="仿宋" w:hAnsi="仿宋" w:eastAsia="仿宋"/>
          <w:sz w:val="32"/>
          <w:szCs w:val="32"/>
        </w:rPr>
        <w:t>万元，占</w:t>
      </w:r>
      <w:r>
        <w:rPr>
          <w:rFonts w:hint="eastAsia" w:ascii="Times New Roman" w:hAnsi="Times New Roman" w:eastAsia="仿宋_GB2312" w:cs="仿宋_GB2312"/>
          <w:color w:val="auto"/>
          <w:kern w:val="2"/>
          <w:sz w:val="32"/>
          <w:szCs w:val="32"/>
          <w:highlight w:val="none"/>
          <w:lang w:val="en-US" w:eastAsia="zh-CN" w:bidi="ar-SA"/>
        </w:rPr>
        <w:t>81.16%</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Times New Roman" w:hAnsi="Times New Roman" w:eastAsia="仿宋_GB2312" w:cs="仿宋_GB2312"/>
          <w:color w:val="auto"/>
          <w:kern w:val="2"/>
          <w:sz w:val="32"/>
          <w:szCs w:val="32"/>
          <w:highlight w:val="none"/>
          <w:lang w:val="en-US" w:eastAsia="zh-CN" w:bidi="ar-SA"/>
        </w:rPr>
        <w:t>64.63</w:t>
      </w:r>
      <w:r>
        <w:rPr>
          <w:rFonts w:hint="eastAsia" w:ascii="仿宋" w:hAnsi="仿宋" w:eastAsia="仿宋"/>
          <w:sz w:val="32"/>
          <w:szCs w:val="32"/>
        </w:rPr>
        <w:t>万元，占</w:t>
      </w:r>
      <w:r>
        <w:rPr>
          <w:rFonts w:hint="eastAsia" w:ascii="Times New Roman" w:hAnsi="Times New Roman" w:eastAsia="仿宋_GB2312" w:cs="仿宋_GB2312"/>
          <w:color w:val="auto"/>
          <w:kern w:val="2"/>
          <w:sz w:val="32"/>
          <w:szCs w:val="32"/>
          <w:highlight w:val="none"/>
          <w:lang w:val="en-US" w:eastAsia="zh-CN" w:bidi="ar-SA"/>
        </w:rPr>
        <w:t>3.23%</w:t>
      </w:r>
      <w:r>
        <w:rPr>
          <w:rFonts w:hint="eastAsia" w:ascii="仿宋" w:hAnsi="仿宋" w:eastAsia="仿宋"/>
          <w:sz w:val="32"/>
          <w:szCs w:val="32"/>
        </w:rPr>
        <w:t>。</w:t>
      </w:r>
    </w:p>
    <w:p w14:paraId="462E9623">
      <w:pPr>
        <w:spacing w:line="600" w:lineRule="exact"/>
        <w:ind w:firstLine="420" w:firstLineChars="200"/>
        <w:outlineLvl w:val="2"/>
        <w:rPr>
          <w:rFonts w:hint="eastAsia" w:ascii="Times New Roman" w:hAnsi="Times New Roman" w:eastAsia="楷体_GB2312" w:cs="楷体_GB2312"/>
          <w:b/>
          <w:color w:val="auto"/>
          <w:sz w:val="32"/>
          <w:szCs w:val="32"/>
          <w:highlight w:val="none"/>
        </w:rPr>
      </w:pPr>
      <w:bookmarkStart w:id="24" w:name="_Toc15377212"/>
      <w:r>
        <w:drawing>
          <wp:anchor distT="0" distB="0" distL="114300" distR="114300" simplePos="0" relativeHeight="251665408" behindDoc="0" locked="0" layoutInCell="1" allowOverlap="1">
            <wp:simplePos x="0" y="0"/>
            <wp:positionH relativeFrom="column">
              <wp:posOffset>765810</wp:posOffset>
            </wp:positionH>
            <wp:positionV relativeFrom="paragraph">
              <wp:posOffset>238760</wp:posOffset>
            </wp:positionV>
            <wp:extent cx="4046220" cy="2545715"/>
            <wp:effectExtent l="4445" t="4445" r="6985" b="21590"/>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hAnsi="Times New Roman" w:eastAsia="楷体_GB2312" w:cs="楷体_GB2312"/>
          <w:b/>
          <w:color w:val="auto"/>
          <w:sz w:val="32"/>
          <w:szCs w:val="32"/>
          <w:highlight w:val="none"/>
        </w:rPr>
        <w:t>（三）一般公共预算财政拨款支出决算具体情况</w:t>
      </w:r>
      <w:bookmarkEnd w:id="24"/>
    </w:p>
    <w:p w14:paraId="1BB225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3"/>
      <w:bookmarkStart w:id="26" w:name="_Toc15377444"/>
      <w:bookmarkStart w:id="27"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2024年度一般公共预算财政拨款支出决算数为1997.22</w:t>
      </w:r>
      <w:r>
        <w:rPr>
          <w:rFonts w:hint="eastAsia"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Style w:val="18"/>
          <w:rFonts w:hint="eastAsia" w:ascii="仿宋" w:hAnsi="仿宋" w:eastAsia="仿宋"/>
          <w:b w:val="0"/>
          <w:bCs w:val="0"/>
          <w:sz w:val="32"/>
          <w:szCs w:val="32"/>
        </w:rPr>
        <w:t>100</w:t>
      </w:r>
      <w:r>
        <w:rPr>
          <w:rFonts w:hint="eastAsia" w:ascii="Times New Roman" w:hAnsi="Times New Roman"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。其中：</w:t>
      </w:r>
      <w:bookmarkEnd w:id="25"/>
      <w:bookmarkEnd w:id="26"/>
      <w:bookmarkEnd w:id="27"/>
    </w:p>
    <w:p w14:paraId="52FACA12">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一般公共服务（类</w:t>
      </w:r>
      <w:r>
        <w:rPr>
          <w:rFonts w:hint="eastAsia" w:ascii="Times New Roman" w:hAnsi="Times New Roman" w:eastAsia="仿宋_GB2312" w:cs="仿宋_GB2312"/>
          <w:b w:val="0"/>
          <w:bCs w:val="0"/>
          <w:color w:val="auto"/>
          <w:kern w:val="2"/>
          <w:sz w:val="32"/>
          <w:szCs w:val="32"/>
          <w:highlight w:val="none"/>
          <w:lang w:val="en-US" w:eastAsia="zh-CN" w:bidi="ar-SA"/>
        </w:rPr>
        <w:t>）</w:t>
      </w:r>
      <w:r>
        <w:rPr>
          <w:rStyle w:val="18"/>
          <w:rFonts w:hint="eastAsia" w:ascii="仿宋" w:hAnsi="仿宋" w:eastAsia="仿宋"/>
          <w:b w:val="0"/>
          <w:bCs w:val="0"/>
          <w:sz w:val="32"/>
          <w:szCs w:val="32"/>
        </w:rPr>
        <w:t>组织事务</w:t>
      </w:r>
      <w:r>
        <w:rPr>
          <w:rFonts w:hint="eastAsia" w:ascii="Times New Roman" w:hAnsi="Times New Roman" w:eastAsia="仿宋_GB2312" w:cs="仿宋_GB2312"/>
          <w:b w:val="0"/>
          <w:bCs w:val="0"/>
          <w:color w:val="auto"/>
          <w:kern w:val="2"/>
          <w:sz w:val="32"/>
          <w:szCs w:val="32"/>
          <w:highlight w:val="none"/>
          <w:lang w:val="en-US" w:eastAsia="zh-CN" w:bidi="ar-SA"/>
        </w:rPr>
        <w:t>（款）</w:t>
      </w:r>
      <w:r>
        <w:rPr>
          <w:rStyle w:val="18"/>
          <w:rFonts w:hint="eastAsia" w:ascii="仿宋" w:hAnsi="仿宋" w:eastAsia="仿宋"/>
          <w:b w:val="0"/>
          <w:bCs w:val="0"/>
          <w:sz w:val="32"/>
          <w:szCs w:val="32"/>
        </w:rPr>
        <w:t>其他组织事务</w:t>
      </w:r>
      <w:r>
        <w:rPr>
          <w:rFonts w:hint="eastAsia" w:ascii="Times New Roman" w:hAnsi="Times New Roman" w:eastAsia="仿宋_GB2312" w:cs="仿宋_GB2312"/>
          <w:b w:val="0"/>
          <w:bCs w:val="0"/>
          <w:color w:val="auto"/>
          <w:kern w:val="2"/>
          <w:sz w:val="32"/>
          <w:szCs w:val="32"/>
          <w:highlight w:val="none"/>
          <w:lang w:val="en-US" w:eastAsia="zh-CN" w:bidi="ar-SA"/>
        </w:rPr>
        <w:t>（项）</w:t>
      </w:r>
      <w:r>
        <w:rPr>
          <w:rFonts w:hint="eastAsia" w:eastAsia="仿宋_GB2312" w:cs="仿宋_GB2312"/>
          <w:color w:val="auto"/>
          <w:kern w:val="2"/>
          <w:sz w:val="32"/>
          <w:szCs w:val="32"/>
          <w:highlight w:val="none"/>
          <w:lang w:val="en-US" w:eastAsia="zh-CN" w:bidi="ar-SA"/>
        </w:rPr>
        <w:t>：</w:t>
      </w:r>
      <w:r>
        <w:rPr>
          <w:rStyle w:val="18"/>
          <w:rFonts w:hint="eastAsia" w:ascii="仿宋" w:hAnsi="仿宋" w:eastAsia="仿宋"/>
          <w:b w:val="0"/>
          <w:bCs/>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2.22</w:t>
      </w:r>
      <w:r>
        <w:rPr>
          <w:rStyle w:val="18"/>
          <w:rFonts w:hint="eastAsia" w:ascii="仿宋" w:hAnsi="仿宋" w:eastAsia="仿宋"/>
          <w:b w:val="0"/>
          <w:bCs/>
          <w:sz w:val="32"/>
          <w:szCs w:val="32"/>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Style w:val="18"/>
          <w:rFonts w:hint="eastAsia" w:ascii="仿宋" w:hAnsi="仿宋" w:eastAsia="仿宋"/>
          <w:b w:val="0"/>
          <w:bCs/>
          <w:sz w:val="32"/>
          <w:szCs w:val="32"/>
        </w:rPr>
        <w:t>，决算数等于预算数。</w:t>
      </w:r>
    </w:p>
    <w:p w14:paraId="6379E8A7">
      <w:pPr>
        <w:spacing w:line="600" w:lineRule="exact"/>
        <w:ind w:firstLine="640" w:firstLineChars="200"/>
        <w:rPr>
          <w:rFonts w:ascii="仿宋" w:hAnsi="仿宋" w:eastAsia="仿宋"/>
          <w:b w:val="0"/>
          <w:bCs w:val="0"/>
          <w:sz w:val="32"/>
          <w:szCs w:val="32"/>
        </w:rPr>
      </w:pPr>
      <w:r>
        <w:rPr>
          <w:rFonts w:hint="eastAsia" w:ascii="Times New Roman" w:hAnsi="Times New Roman" w:eastAsia="仿宋_GB2312" w:cs="仿宋_GB2312"/>
          <w:b w:val="0"/>
          <w:bCs w:val="0"/>
          <w:color w:val="auto"/>
          <w:kern w:val="2"/>
          <w:sz w:val="32"/>
          <w:szCs w:val="32"/>
          <w:highlight w:val="none"/>
          <w:lang w:val="en-US" w:eastAsia="zh-CN" w:bidi="ar-SA"/>
        </w:rPr>
        <w:t>2.</w:t>
      </w:r>
      <w:r>
        <w:rPr>
          <w:rStyle w:val="18"/>
          <w:rFonts w:hint="eastAsia" w:ascii="仿宋" w:hAnsi="仿宋" w:eastAsia="仿宋"/>
          <w:b w:val="0"/>
          <w:bCs w:val="0"/>
          <w:sz w:val="32"/>
          <w:szCs w:val="32"/>
        </w:rPr>
        <w:t>社会保障和就业（类）人力资源和社会保障管理事务（款）其他人力资源和社会保障管理事务支出（项）</w:t>
      </w:r>
      <w:r>
        <w:rPr>
          <w:rStyle w:val="18"/>
          <w:rFonts w:hint="eastAsia" w:ascii="仿宋" w:hAnsi="仿宋" w:eastAsia="仿宋"/>
          <w:b w:val="0"/>
          <w:bCs w:val="0"/>
          <w:sz w:val="32"/>
          <w:szCs w:val="32"/>
          <w:lang w:eastAsia="zh-CN"/>
        </w:rPr>
        <w:t>：</w:t>
      </w:r>
      <w:r>
        <w:rPr>
          <w:rStyle w:val="18"/>
          <w:rFonts w:ascii="仿宋" w:hAnsi="仿宋" w:eastAsia="仿宋"/>
          <w:b w:val="0"/>
          <w:bCs w:val="0"/>
          <w:sz w:val="32"/>
          <w:szCs w:val="32"/>
        </w:rPr>
        <w:t xml:space="preserve"> </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0.68</w:t>
      </w:r>
      <w:r>
        <w:rPr>
          <w:rStyle w:val="18"/>
          <w:rFonts w:hint="eastAsia" w:ascii="仿宋" w:hAnsi="仿宋" w:eastAsia="仿宋"/>
          <w:b w:val="0"/>
          <w:bCs w:val="0"/>
          <w:sz w:val="32"/>
          <w:szCs w:val="32"/>
        </w:rPr>
        <w:t>万元，社会保障和就业（类）行政事业单位养老支出（款）行政单位离退休（项）：支出决算为</w:t>
      </w:r>
      <w:r>
        <w:rPr>
          <w:rFonts w:hint="eastAsia" w:ascii="Times New Roman" w:hAnsi="Times New Roman" w:eastAsia="仿宋_GB2312" w:cs="仿宋_GB2312"/>
          <w:color w:val="auto"/>
          <w:kern w:val="2"/>
          <w:sz w:val="32"/>
          <w:szCs w:val="32"/>
          <w:highlight w:val="none"/>
          <w:lang w:val="en-US" w:eastAsia="zh-CN" w:bidi="ar-SA"/>
        </w:rPr>
        <w:t>163.83</w:t>
      </w:r>
      <w:r>
        <w:rPr>
          <w:rStyle w:val="18"/>
          <w:rFonts w:hint="eastAsia" w:ascii="仿宋" w:hAnsi="仿宋" w:eastAsia="仿宋"/>
          <w:b w:val="0"/>
          <w:bCs w:val="0"/>
          <w:sz w:val="32"/>
          <w:szCs w:val="32"/>
        </w:rPr>
        <w:t>万元，社会保障和就业（类）行政事业单位养老支出（款）机关事业单位基本养老保险缴费支出（项）：支出决算为</w:t>
      </w:r>
      <w:r>
        <w:rPr>
          <w:rFonts w:hint="eastAsia" w:ascii="Times New Roman" w:hAnsi="Times New Roman" w:eastAsia="仿宋_GB2312" w:cs="仿宋_GB2312"/>
          <w:color w:val="auto"/>
          <w:kern w:val="2"/>
          <w:sz w:val="32"/>
          <w:szCs w:val="32"/>
          <w:highlight w:val="none"/>
          <w:lang w:val="en-US" w:eastAsia="zh-CN" w:bidi="ar-SA"/>
        </w:rPr>
        <w:t>79.82</w:t>
      </w:r>
      <w:r>
        <w:rPr>
          <w:rStyle w:val="18"/>
          <w:rFonts w:hint="eastAsia" w:ascii="仿宋" w:hAnsi="仿宋" w:eastAsia="仿宋"/>
          <w:b w:val="0"/>
          <w:bCs w:val="0"/>
          <w:sz w:val="32"/>
          <w:szCs w:val="32"/>
        </w:rPr>
        <w:t>万元，社会保障和就业（类）</w:t>
      </w:r>
      <w:r>
        <w:rPr>
          <w:rStyle w:val="18"/>
          <w:rFonts w:hint="eastAsia" w:ascii="仿宋" w:hAnsi="仿宋" w:eastAsia="仿宋"/>
          <w:b w:val="0"/>
          <w:bCs w:val="0"/>
          <w:sz w:val="32"/>
          <w:szCs w:val="32"/>
          <w:lang w:eastAsia="zh-CN"/>
        </w:rPr>
        <w:t>抚恤</w:t>
      </w:r>
      <w:r>
        <w:rPr>
          <w:rStyle w:val="18"/>
          <w:rFonts w:hint="eastAsia" w:ascii="仿宋" w:hAnsi="仿宋" w:eastAsia="仿宋"/>
          <w:b w:val="0"/>
          <w:bCs w:val="0"/>
          <w:sz w:val="32"/>
          <w:szCs w:val="32"/>
        </w:rPr>
        <w:t>（款）</w:t>
      </w:r>
      <w:r>
        <w:rPr>
          <w:rStyle w:val="18"/>
          <w:rFonts w:hint="eastAsia" w:ascii="仿宋" w:hAnsi="仿宋" w:eastAsia="仿宋"/>
          <w:b w:val="0"/>
          <w:bCs w:val="0"/>
          <w:sz w:val="32"/>
          <w:szCs w:val="32"/>
          <w:lang w:eastAsia="zh-CN"/>
        </w:rPr>
        <w:t>死亡抚恤</w:t>
      </w:r>
      <w:r>
        <w:rPr>
          <w:rStyle w:val="18"/>
          <w:rFonts w:hint="eastAsia" w:ascii="仿宋" w:hAnsi="仿宋" w:eastAsia="仿宋"/>
          <w:b w:val="0"/>
          <w:bCs w:val="0"/>
          <w:sz w:val="32"/>
          <w:szCs w:val="32"/>
        </w:rPr>
        <w:t>（项）：支出决算为</w:t>
      </w:r>
      <w:r>
        <w:rPr>
          <w:rFonts w:hint="eastAsia" w:ascii="Times New Roman" w:hAnsi="Times New Roman" w:eastAsia="仿宋_GB2312" w:cs="仿宋_GB2312"/>
          <w:color w:val="auto"/>
          <w:kern w:val="2"/>
          <w:sz w:val="32"/>
          <w:szCs w:val="32"/>
          <w:highlight w:val="none"/>
          <w:lang w:val="en-US" w:eastAsia="zh-CN" w:bidi="ar-SA"/>
        </w:rPr>
        <w:t>18.86</w:t>
      </w:r>
      <w:r>
        <w:rPr>
          <w:rStyle w:val="18"/>
          <w:rFonts w:hint="eastAsia" w:ascii="仿宋" w:hAnsi="仿宋" w:eastAsia="仿宋"/>
          <w:b w:val="0"/>
          <w:bCs w:val="0"/>
          <w:sz w:val="32"/>
          <w:szCs w:val="32"/>
        </w:rPr>
        <w:t>万元，社会保障和就业（类）社会福利（款）儿童福利（项）：支出决算为</w:t>
      </w:r>
      <w:r>
        <w:rPr>
          <w:rFonts w:hint="eastAsia" w:ascii="Times New Roman" w:hAnsi="Times New Roman" w:eastAsia="仿宋_GB2312" w:cs="仿宋_GB2312"/>
          <w:color w:val="auto"/>
          <w:kern w:val="2"/>
          <w:sz w:val="32"/>
          <w:szCs w:val="32"/>
          <w:highlight w:val="none"/>
          <w:lang w:val="en-US" w:eastAsia="zh-CN" w:bidi="ar-SA"/>
        </w:rPr>
        <w:t>0.40</w:t>
      </w:r>
      <w:r>
        <w:rPr>
          <w:rStyle w:val="18"/>
          <w:rFonts w:hint="eastAsia" w:ascii="仿宋" w:hAnsi="仿宋" w:eastAsia="仿宋"/>
          <w:b w:val="0"/>
          <w:bCs w:val="0"/>
          <w:sz w:val="32"/>
          <w:szCs w:val="32"/>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Style w:val="18"/>
          <w:rFonts w:hint="eastAsia" w:ascii="仿宋" w:hAnsi="仿宋" w:eastAsia="仿宋"/>
          <w:b w:val="0"/>
          <w:bCs w:val="0"/>
          <w:sz w:val="32"/>
          <w:szCs w:val="32"/>
        </w:rPr>
        <w:t>，决算数等于预算数。</w:t>
      </w:r>
    </w:p>
    <w:p w14:paraId="1E972A52">
      <w:pPr>
        <w:spacing w:line="600" w:lineRule="exact"/>
        <w:ind w:firstLine="640" w:firstLineChars="200"/>
        <w:rPr>
          <w:rStyle w:val="18"/>
          <w:rFonts w:hint="eastAsia" w:ascii="仿宋" w:hAnsi="仿宋" w:eastAsia="仿宋"/>
          <w:b w:val="0"/>
          <w:bCs/>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 w:hAnsi="仿宋" w:eastAsia="仿宋"/>
          <w:b w:val="0"/>
          <w:bCs w:val="0"/>
          <w:sz w:val="32"/>
          <w:szCs w:val="32"/>
        </w:rPr>
        <w:t>卫生健康支出</w:t>
      </w:r>
      <w:r>
        <w:rPr>
          <w:rStyle w:val="18"/>
          <w:rFonts w:hint="eastAsia" w:ascii="仿宋" w:hAnsi="仿宋" w:eastAsia="仿宋"/>
          <w:b w:val="0"/>
          <w:bCs w:val="0"/>
          <w:sz w:val="32"/>
          <w:szCs w:val="32"/>
        </w:rPr>
        <w:t>（类）</w:t>
      </w:r>
      <w:r>
        <w:rPr>
          <w:rStyle w:val="18"/>
          <w:rFonts w:hint="eastAsia" w:ascii="仿宋" w:hAnsi="仿宋" w:eastAsia="仿宋"/>
          <w:b w:val="0"/>
          <w:bCs w:val="0"/>
          <w:sz w:val="32"/>
          <w:szCs w:val="32"/>
          <w:lang w:eastAsia="zh-CN"/>
        </w:rPr>
        <w:t>行政事业单位医疗</w:t>
      </w:r>
      <w:r>
        <w:rPr>
          <w:rStyle w:val="18"/>
          <w:rFonts w:hint="eastAsia" w:ascii="仿宋" w:hAnsi="仿宋" w:eastAsia="仿宋"/>
          <w:b w:val="0"/>
          <w:bCs w:val="0"/>
          <w:sz w:val="32"/>
          <w:szCs w:val="32"/>
        </w:rPr>
        <w:t>（款）</w:t>
      </w:r>
      <w:r>
        <w:rPr>
          <w:rStyle w:val="18"/>
          <w:rFonts w:hint="eastAsia" w:ascii="仿宋" w:hAnsi="仿宋" w:eastAsia="仿宋"/>
          <w:b w:val="0"/>
          <w:bCs w:val="0"/>
          <w:sz w:val="32"/>
          <w:szCs w:val="32"/>
          <w:lang w:eastAsia="zh-CN"/>
        </w:rPr>
        <w:t>行政单位医疗</w:t>
      </w:r>
      <w:r>
        <w:rPr>
          <w:rStyle w:val="18"/>
          <w:rFonts w:hint="eastAsia" w:ascii="仿宋" w:hAnsi="仿宋" w:eastAsia="仿宋"/>
          <w:b w:val="0"/>
          <w:bCs w:val="0"/>
          <w:sz w:val="32"/>
          <w:szCs w:val="32"/>
        </w:rPr>
        <w:t>（项）</w:t>
      </w:r>
      <w:r>
        <w:rPr>
          <w:rStyle w:val="18"/>
          <w:rFonts w:hint="eastAsia" w:ascii="仿宋" w:hAnsi="仿宋" w:eastAsia="仿宋"/>
          <w:b w:val="0"/>
          <w:bCs w:val="0"/>
          <w:sz w:val="32"/>
          <w:szCs w:val="32"/>
          <w:lang w:eastAsia="zh-CN"/>
        </w:rPr>
        <w:t>：</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38.81</w:t>
      </w:r>
      <w:r>
        <w:rPr>
          <w:rStyle w:val="18"/>
          <w:rFonts w:hint="eastAsia" w:ascii="仿宋" w:hAnsi="仿宋" w:eastAsia="仿宋"/>
          <w:b w:val="0"/>
          <w:bCs w:val="0"/>
          <w:sz w:val="32"/>
          <w:szCs w:val="32"/>
        </w:rPr>
        <w:t>万元，</w:t>
      </w:r>
      <w:r>
        <w:rPr>
          <w:rFonts w:hint="eastAsia" w:ascii="仿宋" w:hAnsi="仿宋" w:eastAsia="仿宋"/>
          <w:b w:val="0"/>
          <w:bCs w:val="0"/>
          <w:sz w:val="32"/>
          <w:szCs w:val="32"/>
        </w:rPr>
        <w:t>卫生健康支出</w:t>
      </w:r>
      <w:r>
        <w:rPr>
          <w:rStyle w:val="18"/>
          <w:rFonts w:hint="eastAsia" w:ascii="仿宋" w:hAnsi="仿宋" w:eastAsia="仿宋"/>
          <w:b w:val="0"/>
          <w:bCs w:val="0"/>
          <w:sz w:val="32"/>
          <w:szCs w:val="32"/>
        </w:rPr>
        <w:t>（类）</w:t>
      </w:r>
      <w:r>
        <w:rPr>
          <w:rStyle w:val="18"/>
          <w:rFonts w:hint="eastAsia" w:ascii="仿宋" w:hAnsi="仿宋" w:eastAsia="仿宋"/>
          <w:b w:val="0"/>
          <w:bCs w:val="0"/>
          <w:sz w:val="32"/>
          <w:szCs w:val="32"/>
          <w:lang w:eastAsia="zh-CN"/>
        </w:rPr>
        <w:t>行政事业单位医疗</w:t>
      </w:r>
      <w:r>
        <w:rPr>
          <w:rStyle w:val="18"/>
          <w:rFonts w:hint="eastAsia" w:ascii="仿宋" w:hAnsi="仿宋" w:eastAsia="仿宋"/>
          <w:b w:val="0"/>
          <w:bCs w:val="0"/>
          <w:sz w:val="32"/>
          <w:szCs w:val="32"/>
        </w:rPr>
        <w:t>（款）</w:t>
      </w:r>
      <w:r>
        <w:rPr>
          <w:rStyle w:val="18"/>
          <w:rFonts w:hint="eastAsia" w:ascii="仿宋" w:hAnsi="仿宋" w:eastAsia="仿宋"/>
          <w:b w:val="0"/>
          <w:bCs w:val="0"/>
          <w:sz w:val="32"/>
          <w:szCs w:val="32"/>
          <w:lang w:eastAsia="zh-CN"/>
        </w:rPr>
        <w:t>事业单位医疗</w:t>
      </w:r>
      <w:r>
        <w:rPr>
          <w:rStyle w:val="18"/>
          <w:rFonts w:hint="eastAsia" w:ascii="仿宋" w:hAnsi="仿宋" w:eastAsia="仿宋"/>
          <w:b w:val="0"/>
          <w:bCs w:val="0"/>
          <w:sz w:val="32"/>
          <w:szCs w:val="32"/>
        </w:rPr>
        <w:t>（项）</w:t>
      </w:r>
      <w:r>
        <w:rPr>
          <w:rStyle w:val="18"/>
          <w:rFonts w:hint="eastAsia" w:ascii="仿宋" w:hAnsi="仿宋" w:eastAsia="仿宋"/>
          <w:b w:val="0"/>
          <w:bCs w:val="0"/>
          <w:sz w:val="32"/>
          <w:szCs w:val="32"/>
          <w:lang w:eastAsia="zh-CN"/>
        </w:rPr>
        <w:t>：</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2.28</w:t>
      </w:r>
      <w:r>
        <w:rPr>
          <w:rStyle w:val="18"/>
          <w:rFonts w:hint="eastAsia" w:ascii="仿宋" w:hAnsi="仿宋" w:eastAsia="仿宋"/>
          <w:b w:val="0"/>
          <w:bCs w:val="0"/>
          <w:sz w:val="32"/>
          <w:szCs w:val="32"/>
        </w:rPr>
        <w:t>万元，</w:t>
      </w:r>
      <w:r>
        <w:rPr>
          <w:rFonts w:hint="eastAsia" w:ascii="仿宋" w:hAnsi="仿宋" w:eastAsia="仿宋"/>
          <w:b w:val="0"/>
          <w:bCs w:val="0"/>
          <w:sz w:val="32"/>
          <w:szCs w:val="32"/>
        </w:rPr>
        <w:t>卫生健康支出</w:t>
      </w:r>
      <w:r>
        <w:rPr>
          <w:rStyle w:val="18"/>
          <w:rFonts w:hint="eastAsia" w:ascii="仿宋" w:hAnsi="仿宋" w:eastAsia="仿宋"/>
          <w:b w:val="0"/>
          <w:bCs w:val="0"/>
          <w:sz w:val="32"/>
          <w:szCs w:val="32"/>
        </w:rPr>
        <w:t>（类）</w:t>
      </w:r>
      <w:r>
        <w:rPr>
          <w:rStyle w:val="18"/>
          <w:rFonts w:hint="eastAsia" w:ascii="仿宋" w:hAnsi="仿宋" w:eastAsia="仿宋"/>
          <w:b w:val="0"/>
          <w:bCs w:val="0"/>
          <w:sz w:val="32"/>
          <w:szCs w:val="32"/>
          <w:lang w:eastAsia="zh-CN"/>
        </w:rPr>
        <w:t>行政事业单位医疗</w:t>
      </w:r>
      <w:r>
        <w:rPr>
          <w:rStyle w:val="18"/>
          <w:rFonts w:hint="eastAsia" w:ascii="仿宋" w:hAnsi="仿宋" w:eastAsia="仿宋"/>
          <w:b w:val="0"/>
          <w:bCs w:val="0"/>
          <w:sz w:val="32"/>
          <w:szCs w:val="32"/>
        </w:rPr>
        <w:t>（款）</w:t>
      </w:r>
      <w:r>
        <w:rPr>
          <w:rStyle w:val="18"/>
          <w:rFonts w:hint="eastAsia" w:ascii="仿宋" w:hAnsi="仿宋" w:eastAsia="仿宋"/>
          <w:b w:val="0"/>
          <w:bCs w:val="0"/>
          <w:sz w:val="32"/>
          <w:szCs w:val="32"/>
          <w:lang w:eastAsia="zh-CN"/>
        </w:rPr>
        <w:t>公务员医疗补助</w:t>
      </w:r>
      <w:r>
        <w:rPr>
          <w:rStyle w:val="18"/>
          <w:rFonts w:hint="eastAsia" w:ascii="仿宋" w:hAnsi="仿宋" w:eastAsia="仿宋"/>
          <w:b w:val="0"/>
          <w:bCs w:val="0"/>
          <w:sz w:val="32"/>
          <w:szCs w:val="32"/>
        </w:rPr>
        <w:t>（项）</w:t>
      </w:r>
      <w:r>
        <w:rPr>
          <w:rStyle w:val="18"/>
          <w:rFonts w:hint="eastAsia" w:ascii="仿宋" w:hAnsi="仿宋" w:eastAsia="仿宋"/>
          <w:b w:val="0"/>
          <w:bCs w:val="0"/>
          <w:sz w:val="32"/>
          <w:szCs w:val="32"/>
          <w:lang w:eastAsia="zh-CN"/>
        </w:rPr>
        <w:t>：</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4.67</w:t>
      </w:r>
      <w:r>
        <w:rPr>
          <w:rStyle w:val="18"/>
          <w:rFonts w:hint="eastAsia" w:ascii="仿宋" w:hAnsi="仿宋" w:eastAsia="仿宋"/>
          <w:b w:val="0"/>
          <w:bCs w:val="0"/>
          <w:sz w:val="32"/>
          <w:szCs w:val="32"/>
        </w:rPr>
        <w:t>万元，</w:t>
      </w:r>
      <w:r>
        <w:rPr>
          <w:rFonts w:hint="eastAsia" w:ascii="仿宋" w:hAnsi="仿宋" w:eastAsia="仿宋"/>
          <w:b w:val="0"/>
          <w:bCs w:val="0"/>
          <w:sz w:val="32"/>
          <w:szCs w:val="32"/>
        </w:rPr>
        <w:t>卫生健康支出</w:t>
      </w:r>
      <w:r>
        <w:rPr>
          <w:rStyle w:val="18"/>
          <w:rFonts w:hint="eastAsia" w:ascii="仿宋" w:hAnsi="仿宋" w:eastAsia="仿宋"/>
          <w:b w:val="0"/>
          <w:bCs w:val="0"/>
          <w:sz w:val="32"/>
          <w:szCs w:val="32"/>
        </w:rPr>
        <w:t>（类）其他卫生健康支出（款）其他卫生健康支出（项）</w:t>
      </w:r>
      <w:r>
        <w:rPr>
          <w:rStyle w:val="18"/>
          <w:rFonts w:hint="eastAsia" w:ascii="仿宋" w:hAnsi="仿宋" w:eastAsia="仿宋"/>
          <w:b w:val="0"/>
          <w:bCs w:val="0"/>
          <w:sz w:val="32"/>
          <w:szCs w:val="32"/>
          <w:lang w:eastAsia="zh-CN"/>
        </w:rPr>
        <w:t>：</w:t>
      </w:r>
      <w:r>
        <w:rPr>
          <w:rStyle w:val="18"/>
          <w:rFonts w:hint="eastAsia" w:ascii="仿宋" w:hAnsi="仿宋" w:eastAsia="仿宋"/>
          <w:b w:val="0"/>
          <w:bCs/>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0.08</w:t>
      </w:r>
      <w:r>
        <w:rPr>
          <w:rStyle w:val="18"/>
          <w:rFonts w:hint="eastAsia" w:ascii="仿宋" w:hAnsi="仿宋" w:eastAsia="仿宋"/>
          <w:b w:val="0"/>
          <w:bCs/>
          <w:sz w:val="32"/>
          <w:szCs w:val="32"/>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Style w:val="18"/>
          <w:rFonts w:hint="eastAsia" w:ascii="仿宋" w:hAnsi="仿宋" w:eastAsia="仿宋"/>
          <w:b w:val="0"/>
          <w:bCs/>
          <w:sz w:val="32"/>
          <w:szCs w:val="32"/>
        </w:rPr>
        <w:t>，决算数等于预算数。</w:t>
      </w:r>
    </w:p>
    <w:p w14:paraId="1C447FCE">
      <w:pPr>
        <w:spacing w:line="600" w:lineRule="exact"/>
        <w:ind w:firstLine="640" w:firstLineChars="200"/>
        <w:rPr>
          <w:rFonts w:ascii="仿宋" w:hAnsi="仿宋" w:eastAsia="仿宋"/>
          <w:b/>
          <w:sz w:val="32"/>
          <w:szCs w:val="32"/>
        </w:rPr>
      </w:pPr>
      <w:r>
        <w:rPr>
          <w:rFonts w:hint="eastAsia" w:ascii="Times New Roman" w:hAnsi="Times New Roman" w:eastAsia="仿宋_GB2312" w:cs="仿宋_GB2312"/>
          <w:color w:val="auto"/>
          <w:kern w:val="2"/>
          <w:sz w:val="32"/>
          <w:szCs w:val="32"/>
          <w:highlight w:val="none"/>
          <w:lang w:val="en-US" w:eastAsia="zh-CN" w:bidi="ar-SA"/>
        </w:rPr>
        <w:t>4.</w:t>
      </w:r>
      <w:r>
        <w:rPr>
          <w:rStyle w:val="18"/>
          <w:rFonts w:hint="eastAsia" w:ascii="仿宋" w:hAnsi="仿宋" w:eastAsia="仿宋"/>
          <w:b w:val="0"/>
          <w:bCs w:val="0"/>
          <w:sz w:val="32"/>
          <w:szCs w:val="32"/>
        </w:rPr>
        <w:t>农林水支出（类）林业</w:t>
      </w:r>
      <w:r>
        <w:rPr>
          <w:rStyle w:val="18"/>
          <w:rFonts w:hint="eastAsia" w:ascii="仿宋" w:hAnsi="仿宋" w:eastAsia="仿宋"/>
          <w:b w:val="0"/>
          <w:bCs w:val="0"/>
          <w:sz w:val="32"/>
          <w:szCs w:val="32"/>
          <w:lang w:eastAsia="zh-CN"/>
        </w:rPr>
        <w:t>和</w:t>
      </w:r>
      <w:r>
        <w:rPr>
          <w:rStyle w:val="18"/>
          <w:rFonts w:hint="eastAsia" w:ascii="仿宋" w:hAnsi="仿宋" w:eastAsia="仿宋"/>
          <w:b w:val="0"/>
          <w:bCs w:val="0"/>
          <w:sz w:val="32"/>
          <w:szCs w:val="32"/>
        </w:rPr>
        <w:t>草原（款）行政运行（项）</w:t>
      </w:r>
      <w:r>
        <w:rPr>
          <w:rStyle w:val="18"/>
          <w:rFonts w:hint="eastAsia" w:ascii="仿宋" w:hAnsi="仿宋" w:eastAsia="仿宋"/>
          <w:b w:val="0"/>
          <w:bCs w:val="0"/>
          <w:sz w:val="32"/>
          <w:szCs w:val="32"/>
          <w:lang w:eastAsia="zh-CN"/>
        </w:rPr>
        <w:t>：</w:t>
      </w:r>
      <w:r>
        <w:rPr>
          <w:rStyle w:val="18"/>
          <w:rFonts w:ascii="仿宋" w:hAnsi="仿宋" w:eastAsia="仿宋"/>
          <w:b w:val="0"/>
          <w:bCs w:val="0"/>
          <w:sz w:val="32"/>
          <w:szCs w:val="32"/>
        </w:rPr>
        <w:t xml:space="preserve"> </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632.38</w:t>
      </w:r>
      <w:r>
        <w:rPr>
          <w:rStyle w:val="18"/>
          <w:rFonts w:hint="eastAsia" w:ascii="仿宋" w:hAnsi="仿宋" w:eastAsia="仿宋"/>
          <w:b w:val="0"/>
          <w:bCs w:val="0"/>
          <w:sz w:val="32"/>
          <w:szCs w:val="32"/>
        </w:rPr>
        <w:t>万元，农林水支出（类）林业</w:t>
      </w:r>
      <w:r>
        <w:rPr>
          <w:rStyle w:val="18"/>
          <w:rFonts w:hint="eastAsia" w:ascii="仿宋" w:hAnsi="仿宋" w:eastAsia="仿宋"/>
          <w:b w:val="0"/>
          <w:bCs w:val="0"/>
          <w:sz w:val="32"/>
          <w:szCs w:val="32"/>
          <w:lang w:eastAsia="zh-CN"/>
        </w:rPr>
        <w:t>和</w:t>
      </w:r>
      <w:r>
        <w:rPr>
          <w:rStyle w:val="18"/>
          <w:rFonts w:hint="eastAsia" w:ascii="仿宋" w:hAnsi="仿宋" w:eastAsia="仿宋"/>
          <w:b w:val="0"/>
          <w:bCs w:val="0"/>
          <w:sz w:val="32"/>
          <w:szCs w:val="32"/>
        </w:rPr>
        <w:t>草原（款）事业机构（项）</w:t>
      </w:r>
      <w:r>
        <w:rPr>
          <w:rStyle w:val="18"/>
          <w:rFonts w:hint="eastAsia" w:ascii="仿宋" w:hAnsi="仿宋" w:eastAsia="仿宋"/>
          <w:b w:val="0"/>
          <w:bCs w:val="0"/>
          <w:sz w:val="32"/>
          <w:szCs w:val="32"/>
          <w:lang w:eastAsia="zh-CN"/>
        </w:rPr>
        <w:t>：</w:t>
      </w:r>
      <w:r>
        <w:rPr>
          <w:rStyle w:val="18"/>
          <w:rFonts w:ascii="仿宋" w:hAnsi="仿宋" w:eastAsia="仿宋"/>
          <w:b w:val="0"/>
          <w:bCs w:val="0"/>
          <w:sz w:val="32"/>
          <w:szCs w:val="32"/>
        </w:rPr>
        <w:t xml:space="preserve"> </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48.27</w:t>
      </w:r>
      <w:r>
        <w:rPr>
          <w:rStyle w:val="18"/>
          <w:rFonts w:hint="eastAsia" w:ascii="仿宋" w:hAnsi="仿宋" w:eastAsia="仿宋"/>
          <w:b w:val="0"/>
          <w:bCs w:val="0"/>
          <w:sz w:val="32"/>
          <w:szCs w:val="32"/>
        </w:rPr>
        <w:t>万元，农林水支出（类）林业</w:t>
      </w:r>
      <w:r>
        <w:rPr>
          <w:rStyle w:val="18"/>
          <w:rFonts w:hint="eastAsia" w:ascii="仿宋" w:hAnsi="仿宋" w:eastAsia="仿宋"/>
          <w:b w:val="0"/>
          <w:bCs w:val="0"/>
          <w:sz w:val="32"/>
          <w:szCs w:val="32"/>
          <w:lang w:eastAsia="zh-CN"/>
        </w:rPr>
        <w:t>和</w:t>
      </w:r>
      <w:r>
        <w:rPr>
          <w:rStyle w:val="18"/>
          <w:rFonts w:hint="eastAsia" w:ascii="仿宋" w:hAnsi="仿宋" w:eastAsia="仿宋"/>
          <w:b w:val="0"/>
          <w:bCs w:val="0"/>
          <w:sz w:val="32"/>
          <w:szCs w:val="32"/>
        </w:rPr>
        <w:t>草原（款）森林资源</w:t>
      </w:r>
      <w:r>
        <w:rPr>
          <w:rStyle w:val="18"/>
          <w:rFonts w:hint="eastAsia" w:ascii="仿宋" w:hAnsi="仿宋" w:eastAsia="仿宋"/>
          <w:b w:val="0"/>
          <w:bCs w:val="0"/>
          <w:sz w:val="32"/>
          <w:szCs w:val="32"/>
          <w:lang w:eastAsia="zh-CN"/>
        </w:rPr>
        <w:t>管理</w:t>
      </w:r>
      <w:r>
        <w:rPr>
          <w:rStyle w:val="18"/>
          <w:rFonts w:hint="eastAsia" w:ascii="仿宋" w:hAnsi="仿宋" w:eastAsia="仿宋"/>
          <w:b w:val="0"/>
          <w:bCs w:val="0"/>
          <w:sz w:val="32"/>
          <w:szCs w:val="32"/>
        </w:rPr>
        <w:t>（项）</w:t>
      </w:r>
      <w:r>
        <w:rPr>
          <w:rStyle w:val="18"/>
          <w:rFonts w:hint="eastAsia" w:ascii="仿宋" w:hAnsi="仿宋" w:eastAsia="仿宋"/>
          <w:b w:val="0"/>
          <w:bCs w:val="0"/>
          <w:sz w:val="32"/>
          <w:szCs w:val="32"/>
          <w:lang w:eastAsia="zh-CN"/>
        </w:rPr>
        <w:t>：</w:t>
      </w:r>
      <w:r>
        <w:rPr>
          <w:rStyle w:val="18"/>
          <w:rFonts w:ascii="仿宋" w:hAnsi="仿宋" w:eastAsia="仿宋"/>
          <w:b w:val="0"/>
          <w:bCs w:val="0"/>
          <w:sz w:val="32"/>
          <w:szCs w:val="32"/>
        </w:rPr>
        <w:t xml:space="preserve"> </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4.81</w:t>
      </w:r>
      <w:r>
        <w:rPr>
          <w:rStyle w:val="18"/>
          <w:rFonts w:hint="eastAsia" w:ascii="仿宋" w:hAnsi="仿宋" w:eastAsia="仿宋"/>
          <w:b w:val="0"/>
          <w:bCs w:val="0"/>
          <w:sz w:val="32"/>
          <w:szCs w:val="32"/>
        </w:rPr>
        <w:t>万元，农林水支出（类）林业</w:t>
      </w:r>
      <w:r>
        <w:rPr>
          <w:rStyle w:val="18"/>
          <w:rFonts w:hint="eastAsia" w:ascii="仿宋" w:hAnsi="仿宋" w:eastAsia="仿宋"/>
          <w:b w:val="0"/>
          <w:bCs w:val="0"/>
          <w:sz w:val="32"/>
          <w:szCs w:val="32"/>
          <w:lang w:eastAsia="zh-CN"/>
        </w:rPr>
        <w:t>草</w:t>
      </w:r>
      <w:r>
        <w:rPr>
          <w:rStyle w:val="18"/>
          <w:rFonts w:hint="eastAsia" w:ascii="仿宋" w:hAnsi="仿宋" w:eastAsia="仿宋"/>
          <w:b w:val="0"/>
          <w:bCs w:val="0"/>
          <w:sz w:val="32"/>
          <w:szCs w:val="32"/>
        </w:rPr>
        <w:t>原（款）其他林业和草原支出（项）</w:t>
      </w:r>
      <w:r>
        <w:rPr>
          <w:rStyle w:val="18"/>
          <w:rFonts w:hint="eastAsia" w:ascii="仿宋" w:hAnsi="仿宋" w:eastAsia="仿宋"/>
          <w:b w:val="0"/>
          <w:bCs w:val="0"/>
          <w:sz w:val="32"/>
          <w:szCs w:val="32"/>
          <w:lang w:eastAsia="zh-CN"/>
        </w:rPr>
        <w:t>：</w:t>
      </w:r>
      <w:r>
        <w:rPr>
          <w:rStyle w:val="18"/>
          <w:rFonts w:ascii="仿宋" w:hAnsi="仿宋" w:eastAsia="仿宋"/>
          <w:b w:val="0"/>
          <w:bCs w:val="0"/>
          <w:sz w:val="32"/>
          <w:szCs w:val="32"/>
        </w:rPr>
        <w:t xml:space="preserve"> </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935.45</w:t>
      </w:r>
      <w:r>
        <w:rPr>
          <w:rStyle w:val="18"/>
          <w:rFonts w:hint="eastAsia" w:ascii="仿宋" w:hAnsi="仿宋" w:eastAsia="仿宋"/>
          <w:b w:val="0"/>
          <w:bCs w:val="0"/>
          <w:sz w:val="32"/>
          <w:szCs w:val="32"/>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Style w:val="18"/>
          <w:rFonts w:hint="eastAsia" w:ascii="仿宋" w:hAnsi="仿宋" w:eastAsia="仿宋"/>
          <w:b w:val="0"/>
          <w:bCs w:val="0"/>
          <w:sz w:val="32"/>
          <w:szCs w:val="32"/>
        </w:rPr>
        <w:t>，决算数等于预算数。</w:t>
      </w:r>
    </w:p>
    <w:p w14:paraId="62027FF9">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5.</w:t>
      </w:r>
      <w:r>
        <w:rPr>
          <w:rStyle w:val="18"/>
          <w:rFonts w:hint="eastAsia" w:ascii="仿宋" w:hAnsi="仿宋" w:eastAsia="仿宋"/>
          <w:b w:val="0"/>
          <w:bCs w:val="0"/>
          <w:sz w:val="32"/>
          <w:szCs w:val="32"/>
        </w:rPr>
        <w:t>住房保障支出（类）住房改革支出（款）住房公积金（项）</w:t>
      </w:r>
      <w:r>
        <w:rPr>
          <w:rStyle w:val="18"/>
          <w:rFonts w:hint="eastAsia" w:ascii="仿宋" w:hAnsi="仿宋" w:eastAsia="仿宋"/>
          <w:b w:val="0"/>
          <w:bCs w:val="0"/>
          <w:sz w:val="32"/>
          <w:szCs w:val="32"/>
          <w:lang w:eastAsia="zh-CN"/>
        </w:rPr>
        <w:t>：</w:t>
      </w:r>
      <w:r>
        <w:rPr>
          <w:rStyle w:val="18"/>
          <w:rFonts w:ascii="仿宋" w:hAnsi="仿宋" w:eastAsia="仿宋"/>
          <w:b w:val="0"/>
          <w:bCs w:val="0"/>
          <w:sz w:val="32"/>
          <w:szCs w:val="32"/>
        </w:rPr>
        <w:t xml:space="preserve"> </w:t>
      </w:r>
      <w:r>
        <w:rPr>
          <w:rStyle w:val="18"/>
          <w:rFonts w:hint="eastAsia" w:ascii="仿宋" w:hAnsi="仿宋" w:eastAsia="仿宋"/>
          <w:b w:val="0"/>
          <w:bCs w:val="0"/>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64.63</w:t>
      </w:r>
      <w:r>
        <w:rPr>
          <w:rStyle w:val="18"/>
          <w:rFonts w:hint="eastAsia" w:ascii="仿宋" w:hAnsi="仿宋" w:eastAsia="仿宋"/>
          <w:b w:val="0"/>
          <w:bCs w:val="0"/>
          <w:sz w:val="32"/>
          <w:szCs w:val="32"/>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Style w:val="18"/>
          <w:rFonts w:hint="eastAsia" w:ascii="仿宋" w:hAnsi="仿宋" w:eastAsia="仿宋"/>
          <w:b w:val="0"/>
          <w:bCs w:val="0"/>
          <w:sz w:val="32"/>
          <w:szCs w:val="32"/>
        </w:rPr>
        <w:t>，决算数等于预算数。</w:t>
      </w:r>
    </w:p>
    <w:p w14:paraId="20D83FC7">
      <w:pPr>
        <w:tabs>
          <w:tab w:val="right" w:pos="8306"/>
        </w:tabs>
        <w:spacing w:line="600" w:lineRule="exact"/>
        <w:ind w:firstLine="640"/>
        <w:outlineLvl w:val="1"/>
        <w:rPr>
          <w:rStyle w:val="30"/>
          <w:rFonts w:ascii="Times New Roman" w:hAnsi="Times New Roman"/>
          <w:color w:val="auto"/>
          <w:highlight w:val="none"/>
        </w:rPr>
      </w:pPr>
      <w:bookmarkStart w:id="28" w:name="_Toc15396608"/>
      <w:bookmarkStart w:id="2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8"/>
      <w:bookmarkEnd w:id="29"/>
      <w:r>
        <w:rPr>
          <w:rStyle w:val="30"/>
          <w:rFonts w:ascii="Times New Roman" w:hAnsi="Times New Roman" w:eastAsia="黑体"/>
          <w:b w:val="0"/>
          <w:color w:val="auto"/>
          <w:highlight w:val="none"/>
        </w:rPr>
        <w:tab/>
      </w:r>
    </w:p>
    <w:p w14:paraId="77CDAD7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2024年度一般公共预算财政拨款基本支出1054.25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393456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人员经费932.27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公用经费121.98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物业管理费、差旅费、维修（护）费、会议费、培训费、公务接待费、劳务费、委托业务费、工会经费、福利费、公务用车运行维护费、其他交通费、其他商品和服务支出、办公设备购置、信息网络及软件购置更新等。</w:t>
      </w:r>
    </w:p>
    <w:p w14:paraId="2EE12B4F">
      <w:pPr>
        <w:spacing w:line="600" w:lineRule="exact"/>
        <w:ind w:firstLine="640"/>
        <w:outlineLvl w:val="1"/>
        <w:rPr>
          <w:rStyle w:val="30"/>
          <w:rFonts w:ascii="Times New Roman" w:hAnsi="Times New Roman" w:eastAsia="黑体"/>
          <w:b w:val="0"/>
          <w:color w:val="auto"/>
          <w:highlight w:val="none"/>
        </w:rPr>
      </w:pPr>
      <w:bookmarkStart w:id="30" w:name="_Toc15377215"/>
      <w:bookmarkStart w:id="31"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0"/>
      <w:bookmarkEnd w:id="31"/>
    </w:p>
    <w:p w14:paraId="05F5396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2"/>
    </w:p>
    <w:p w14:paraId="3CDA4C5C">
      <w:pPr>
        <w:spacing w:line="600" w:lineRule="exact"/>
        <w:ind w:firstLine="640"/>
        <w:rPr>
          <w:rFonts w:ascii="仿宋" w:hAnsi="仿宋" w:eastAsia="仿宋"/>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2024年度“三公”经费财政拨款支出决算为11.7</w:t>
      </w:r>
      <w:r>
        <w:rPr>
          <w:rFonts w:hint="eastAsia" w:eastAsia="仿宋_GB2312" w:cs="仿宋_GB2312"/>
          <w:color w:val="auto"/>
          <w:kern w:val="2"/>
          <w:sz w:val="32"/>
          <w:szCs w:val="32"/>
          <w:highlight w:val="none"/>
          <w:lang w:val="en-US" w:eastAsia="zh-CN" w:bidi="ar-SA"/>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Times New Roman" w:hAnsi="Times New Roman" w:eastAsia="仿宋_GB2312" w:cs="仿宋_GB2312"/>
          <w:color w:val="auto"/>
          <w:kern w:val="2"/>
          <w:sz w:val="32"/>
          <w:szCs w:val="32"/>
          <w:highlight w:val="none"/>
          <w:lang w:val="en-US" w:eastAsia="zh-CN" w:bidi="ar-SA"/>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 w:hAnsi="仿宋" w:eastAsia="仿宋"/>
          <w:sz w:val="32"/>
          <w:szCs w:val="32"/>
        </w:rPr>
        <w:t>较上年度</w:t>
      </w:r>
      <w:r>
        <w:rPr>
          <w:rFonts w:hint="eastAsia" w:ascii="仿宋" w:hAnsi="仿宋" w:eastAsia="仿宋"/>
          <w:sz w:val="32"/>
          <w:szCs w:val="32"/>
          <w:lang w:eastAsia="zh-CN"/>
        </w:rPr>
        <w:t>减</w:t>
      </w:r>
      <w:r>
        <w:rPr>
          <w:rFonts w:hint="eastAsia" w:ascii="Times New Roman" w:hAnsi="Times New Roman" w:eastAsia="仿宋_GB2312" w:cs="仿宋_GB2312"/>
          <w:color w:val="auto"/>
          <w:kern w:val="2"/>
          <w:sz w:val="32"/>
          <w:szCs w:val="32"/>
          <w:highlight w:val="none"/>
          <w:lang w:val="en-US" w:eastAsia="zh-CN" w:bidi="ar-SA"/>
        </w:rPr>
        <w:t>少2.39</w:t>
      </w:r>
      <w:r>
        <w:rPr>
          <w:rFonts w:hint="eastAsia" w:ascii="仿宋" w:hAnsi="仿宋" w:eastAsia="仿宋"/>
          <w:sz w:val="32"/>
          <w:szCs w:val="32"/>
        </w:rPr>
        <w:t>万元，</w:t>
      </w:r>
      <w:r>
        <w:rPr>
          <w:rFonts w:hint="eastAsia" w:ascii="仿宋" w:hAnsi="仿宋" w:eastAsia="仿宋"/>
          <w:sz w:val="32"/>
          <w:szCs w:val="32"/>
          <w:lang w:eastAsia="zh-CN"/>
        </w:rPr>
        <w:t>降低</w:t>
      </w:r>
      <w:r>
        <w:rPr>
          <w:rFonts w:hint="eastAsia" w:ascii="Times New Roman" w:hAnsi="Times New Roman" w:eastAsia="仿宋_GB2312" w:cs="仿宋_GB2312"/>
          <w:color w:val="auto"/>
          <w:kern w:val="2"/>
          <w:sz w:val="32"/>
          <w:szCs w:val="32"/>
          <w:highlight w:val="none"/>
          <w:lang w:val="en-US" w:eastAsia="zh-CN" w:bidi="ar-SA"/>
        </w:rPr>
        <w:t>16.96%</w:t>
      </w:r>
      <w:r>
        <w:rPr>
          <w:rFonts w:hint="eastAsia" w:ascii="仿宋" w:hAnsi="仿宋" w:eastAsia="仿宋"/>
          <w:sz w:val="32"/>
          <w:szCs w:val="32"/>
        </w:rPr>
        <w:t>。</w:t>
      </w:r>
      <w:r>
        <w:rPr>
          <w:rFonts w:hint="eastAsia" w:ascii="仿宋" w:hAnsi="仿宋" w:eastAsia="仿宋"/>
          <w:color w:val="auto"/>
          <w:sz w:val="32"/>
          <w:szCs w:val="32"/>
        </w:rPr>
        <w:t>决算数与预算数</w:t>
      </w:r>
      <w:r>
        <w:rPr>
          <w:rFonts w:hint="eastAsia" w:ascii="仿宋" w:hAnsi="仿宋" w:eastAsia="仿宋"/>
          <w:color w:val="auto"/>
          <w:sz w:val="32"/>
          <w:szCs w:val="32"/>
          <w:lang w:eastAsia="zh-CN"/>
        </w:rPr>
        <w:t>减少</w:t>
      </w:r>
      <w:r>
        <w:rPr>
          <w:rFonts w:hint="eastAsia" w:ascii="仿宋" w:hAnsi="仿宋" w:eastAsia="仿宋"/>
          <w:color w:val="auto"/>
          <w:sz w:val="32"/>
          <w:szCs w:val="32"/>
        </w:rPr>
        <w:t>的</w:t>
      </w:r>
      <w:r>
        <w:rPr>
          <w:rFonts w:hint="eastAsia" w:ascii="仿宋" w:hAnsi="仿宋" w:eastAsia="仿宋"/>
          <w:color w:val="auto"/>
          <w:sz w:val="32"/>
          <w:szCs w:val="32"/>
          <w:lang w:eastAsia="zh-CN"/>
        </w:rPr>
        <w:t>主要原因</w:t>
      </w:r>
      <w:r>
        <w:rPr>
          <w:rFonts w:hint="eastAsia" w:ascii="仿宋_GB2312" w:eastAsia="仿宋_GB2312"/>
          <w:color w:val="auto"/>
          <w:sz w:val="32"/>
          <w:szCs w:val="32"/>
        </w:rPr>
        <w:t>是厉行节约，加强公务用车管理，减少费用支出</w:t>
      </w:r>
      <w:r>
        <w:rPr>
          <w:rFonts w:hint="eastAsia" w:ascii="仿宋" w:hAnsi="仿宋" w:eastAsia="仿宋"/>
          <w:color w:val="auto"/>
          <w:sz w:val="32"/>
          <w:szCs w:val="32"/>
        </w:rPr>
        <w:t>。</w:t>
      </w:r>
    </w:p>
    <w:p w14:paraId="19867FA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3"/>
    </w:p>
    <w:p w14:paraId="45F8C71C">
      <w:pPr>
        <w:spacing w:line="600" w:lineRule="exact"/>
        <w:ind w:firstLine="640"/>
        <w:rPr>
          <w:rFonts w:hint="eastAsia" w:ascii="仿宋" w:hAnsi="仿宋" w:eastAsia="仿宋"/>
          <w:sz w:val="32"/>
          <w:szCs w:val="32"/>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2024年度“三公”经费财政拨款支出决算中，因公出国（境）费支出决算0万元，占0%；公务用车购置及运行维</w:t>
      </w:r>
      <w:r>
        <w:rPr>
          <w:rFonts w:hint="eastAsia" w:ascii="仿宋" w:hAnsi="仿宋" w:eastAsia="仿宋"/>
          <w:sz w:val="32"/>
          <w:szCs w:val="32"/>
        </w:rPr>
        <w:t>护</w:t>
      </w:r>
      <w:r>
        <w:drawing>
          <wp:anchor distT="0" distB="0" distL="114300" distR="114300" simplePos="0" relativeHeight="251664384" behindDoc="0" locked="0" layoutInCell="1" allowOverlap="1">
            <wp:simplePos x="0" y="0"/>
            <wp:positionH relativeFrom="column">
              <wp:posOffset>559435</wp:posOffset>
            </wp:positionH>
            <wp:positionV relativeFrom="paragraph">
              <wp:posOffset>899160</wp:posOffset>
            </wp:positionV>
            <wp:extent cx="3684905" cy="2098040"/>
            <wp:effectExtent l="4445" t="4445" r="6350" b="12065"/>
            <wp:wrapTopAndBottom/>
            <wp:docPr id="10" name="图表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t>费支出决算</w:t>
      </w:r>
      <w:r>
        <w:rPr>
          <w:rFonts w:hint="eastAsia" w:ascii="Times New Roman" w:hAnsi="Times New Roman" w:eastAsia="仿宋_GB2312" w:cs="仿宋_GB2312"/>
          <w:color w:val="auto"/>
          <w:kern w:val="2"/>
          <w:sz w:val="32"/>
          <w:szCs w:val="32"/>
          <w:highlight w:val="none"/>
          <w:lang w:val="en-US" w:eastAsia="zh-CN" w:bidi="ar-SA"/>
        </w:rPr>
        <w:t>9.57</w:t>
      </w:r>
      <w:r>
        <w:rPr>
          <w:rFonts w:hint="eastAsia" w:ascii="仿宋" w:hAnsi="仿宋" w:eastAsia="仿宋"/>
          <w:sz w:val="32"/>
          <w:szCs w:val="32"/>
        </w:rPr>
        <w:t>万元，占</w:t>
      </w:r>
      <w:r>
        <w:rPr>
          <w:rFonts w:hint="eastAsia" w:ascii="Times New Roman" w:hAnsi="Times New Roman" w:eastAsia="仿宋_GB2312" w:cs="仿宋_GB2312"/>
          <w:color w:val="auto"/>
          <w:kern w:val="2"/>
          <w:sz w:val="32"/>
          <w:szCs w:val="32"/>
          <w:highlight w:val="none"/>
          <w:lang w:val="en-US" w:eastAsia="zh-CN" w:bidi="ar-SA"/>
        </w:rPr>
        <w:t>81.83%</w:t>
      </w:r>
      <w:r>
        <w:rPr>
          <w:rFonts w:hint="eastAsia" w:ascii="仿宋" w:hAnsi="仿宋" w:eastAsia="仿宋"/>
          <w:sz w:val="32"/>
          <w:szCs w:val="32"/>
        </w:rPr>
        <w:t>；公务接待费支出决算</w:t>
      </w:r>
      <w:r>
        <w:rPr>
          <w:rFonts w:hint="eastAsia" w:ascii="Times New Roman" w:hAnsi="Times New Roman" w:eastAsia="仿宋_GB2312" w:cs="仿宋_GB2312"/>
          <w:color w:val="auto"/>
          <w:kern w:val="2"/>
          <w:sz w:val="32"/>
          <w:szCs w:val="32"/>
          <w:highlight w:val="none"/>
          <w:lang w:val="en-US" w:eastAsia="zh-CN" w:bidi="ar-SA"/>
        </w:rPr>
        <w:t>2.13</w:t>
      </w:r>
      <w:r>
        <w:rPr>
          <w:rFonts w:hint="eastAsia" w:ascii="仿宋" w:hAnsi="仿宋" w:eastAsia="仿宋"/>
          <w:sz w:val="32"/>
          <w:szCs w:val="32"/>
        </w:rPr>
        <w:t>万元，占</w:t>
      </w:r>
      <w:r>
        <w:rPr>
          <w:rFonts w:hint="eastAsia" w:ascii="Times New Roman" w:hAnsi="Times New Roman" w:eastAsia="仿宋_GB2312" w:cs="仿宋_GB2312"/>
          <w:color w:val="auto"/>
          <w:kern w:val="2"/>
          <w:sz w:val="32"/>
          <w:szCs w:val="32"/>
          <w:highlight w:val="none"/>
          <w:lang w:val="en-US" w:eastAsia="zh-CN" w:bidi="ar-SA"/>
        </w:rPr>
        <w:t>18.17%</w:t>
      </w:r>
      <w:r>
        <w:rPr>
          <w:rFonts w:hint="eastAsia" w:ascii="仿宋" w:hAnsi="仿宋" w:eastAsia="仿宋"/>
          <w:sz w:val="32"/>
          <w:szCs w:val="32"/>
        </w:rPr>
        <w:t>。具体情况如下：</w:t>
      </w:r>
    </w:p>
    <w:p w14:paraId="3686F0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1.因公出国（境）经费支出0万元，完成预算0%。全年安排因公出国（境）团组0次，出国（境）0人。因公出国（境）支出决算比2023年增加0万元，增长0%。主要原因是2024年没有因公出国（境）情况。</w:t>
      </w:r>
    </w:p>
    <w:p w14:paraId="17E9E1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9.57万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sz w:val="32"/>
          <w:szCs w:val="32"/>
        </w:rPr>
        <w:t>公务用车购置及运行维护费支出决算比</w:t>
      </w:r>
      <w:r>
        <w:rPr>
          <w:rFonts w:hint="eastAsia" w:ascii="Times New Roman" w:hAnsi="Times New Roman" w:eastAsia="仿宋_GB2312" w:cs="仿宋_GB2312"/>
          <w:color w:val="auto"/>
          <w:kern w:val="2"/>
          <w:sz w:val="32"/>
          <w:szCs w:val="32"/>
          <w:highlight w:val="none"/>
          <w:lang w:val="en-US" w:eastAsia="zh-CN" w:bidi="ar-SA"/>
        </w:rPr>
        <w:t>2023</w:t>
      </w:r>
      <w:r>
        <w:rPr>
          <w:rFonts w:hint="eastAsia" w:ascii="仿宋_GB2312" w:eastAsia="仿宋_GB2312"/>
          <w:sz w:val="32"/>
          <w:szCs w:val="32"/>
        </w:rPr>
        <w:t>年度减少</w:t>
      </w:r>
      <w:r>
        <w:rPr>
          <w:rFonts w:hint="eastAsia" w:ascii="Times New Roman" w:hAnsi="Times New Roman" w:eastAsia="仿宋_GB2312" w:cs="仿宋_GB2312"/>
          <w:color w:val="auto"/>
          <w:kern w:val="2"/>
          <w:sz w:val="32"/>
          <w:szCs w:val="32"/>
          <w:highlight w:val="none"/>
          <w:lang w:val="en-US" w:eastAsia="zh-CN" w:bidi="ar-SA"/>
        </w:rPr>
        <w:t>1.82</w:t>
      </w:r>
      <w:r>
        <w:rPr>
          <w:rFonts w:hint="eastAsia" w:ascii="仿宋_GB2312" w:eastAsia="仿宋_GB2312"/>
          <w:sz w:val="32"/>
          <w:szCs w:val="32"/>
        </w:rPr>
        <w:t>万元，下</w:t>
      </w:r>
      <w:r>
        <w:rPr>
          <w:rFonts w:hint="eastAsia" w:ascii="Times New Roman" w:hAnsi="Times New Roman" w:eastAsia="仿宋_GB2312" w:cs="仿宋_GB2312"/>
          <w:color w:val="auto"/>
          <w:kern w:val="2"/>
          <w:sz w:val="32"/>
          <w:szCs w:val="32"/>
          <w:highlight w:val="none"/>
          <w:lang w:val="en-US" w:eastAsia="zh-CN" w:bidi="ar-SA"/>
        </w:rPr>
        <w:t>降15.98%。主要原因是厉行节约，加强公务用车管理，减少费用支出。</w:t>
      </w:r>
    </w:p>
    <w:p w14:paraId="500CDA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w:t>
      </w:r>
    </w:p>
    <w:p w14:paraId="2BD1A8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截至2024年12月底，单位共有公务用车4辆，其中：轿车2辆、越野车2辆、载客汽车0辆。</w:t>
      </w:r>
    </w:p>
    <w:p w14:paraId="3AD500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公务用车运行维护费支出9.57万元。主要用于森林防灭火、生态保护、林业执法等所需的公务用车燃料费、维修费、过路过桥费、保险费等支出。</w:t>
      </w:r>
    </w:p>
    <w:p w14:paraId="1A986D1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3.公务接待费支出2.13万元，完成预算100%。公务接待费支出决算比2023年度减少0.57万元，降低44.39%。主要原因</w:t>
      </w:r>
      <w:r>
        <w:rPr>
          <w:rFonts w:hint="eastAsia" w:eastAsia="仿宋_GB2312" w:cs="仿宋_GB2312"/>
          <w:color w:val="auto"/>
          <w:kern w:val="2"/>
          <w:sz w:val="32"/>
          <w:szCs w:val="32"/>
          <w:highlight w:val="none"/>
          <w:lang w:val="en-US" w:eastAsia="zh-CN" w:bidi="ar-SA"/>
        </w:rPr>
        <w:t>是</w:t>
      </w:r>
      <w:r>
        <w:rPr>
          <w:rFonts w:hint="eastAsia" w:ascii="Times New Roman" w:hAnsi="Times New Roman" w:eastAsia="仿宋_GB2312" w:cs="仿宋_GB2312"/>
          <w:color w:val="auto"/>
          <w:kern w:val="2"/>
          <w:sz w:val="32"/>
          <w:szCs w:val="32"/>
          <w:highlight w:val="none"/>
          <w:lang w:val="en-US" w:eastAsia="zh-CN" w:bidi="ar-SA"/>
        </w:rPr>
        <w:t>厉行节约，加强公务接待费支出</w:t>
      </w:r>
      <w:r>
        <w:rPr>
          <w:rFonts w:hint="eastAsia" w:eastAsia="仿宋_GB2312" w:cs="仿宋_GB2312"/>
          <w:color w:val="auto"/>
          <w:kern w:val="2"/>
          <w:sz w:val="32"/>
          <w:szCs w:val="32"/>
          <w:highlight w:val="none"/>
          <w:lang w:val="en-US" w:eastAsia="zh-CN" w:bidi="ar-SA"/>
        </w:rPr>
        <w:t>管理</w:t>
      </w:r>
      <w:r>
        <w:rPr>
          <w:rFonts w:hint="eastAsia" w:ascii="Times New Roman" w:hAnsi="Times New Roman" w:eastAsia="仿宋_GB2312" w:cs="仿宋_GB2312"/>
          <w:color w:val="auto"/>
          <w:kern w:val="2"/>
          <w:sz w:val="32"/>
          <w:szCs w:val="32"/>
          <w:highlight w:val="none"/>
          <w:lang w:val="en-US" w:eastAsia="zh-CN" w:bidi="ar-SA"/>
        </w:rPr>
        <w:t>，减少费用支出。其中：</w:t>
      </w:r>
    </w:p>
    <w:p w14:paraId="613F9BA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国内公务接待支出2.13万元，主要用于执行公务、开展业务活动开支的交通费、住宿费、用餐费等。国内公务接待18批次，148人次（不包括陪同人员），共计支出2.13万元，具体内容包括2.13万元。</w:t>
      </w:r>
    </w:p>
    <w:p w14:paraId="6050A1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外事接待支出0万元。外事接待0批次，0人次（不包括陪同人员），共计支出0万元。</w:t>
      </w:r>
    </w:p>
    <w:p w14:paraId="2FCCEF15">
      <w:pPr>
        <w:spacing w:line="600" w:lineRule="exact"/>
        <w:ind w:firstLine="640"/>
        <w:outlineLvl w:val="1"/>
        <w:rPr>
          <w:rStyle w:val="30"/>
          <w:rFonts w:ascii="Times New Roman" w:hAnsi="Times New Roman" w:eastAsia="黑体"/>
          <w:color w:val="auto"/>
          <w:highlight w:val="none"/>
        </w:rPr>
      </w:pPr>
      <w:bookmarkStart w:id="34" w:name="_Toc15396610"/>
      <w:bookmarkStart w:id="35" w:name="_Toc15377218"/>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4"/>
      <w:bookmarkEnd w:id="35"/>
    </w:p>
    <w:p w14:paraId="6B1B37E4">
      <w:pPr>
        <w:spacing w:line="600" w:lineRule="exact"/>
        <w:ind w:firstLine="640"/>
        <w:rPr>
          <w:rFonts w:hint="default"/>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2024年度政府性基金预算财政拨款支出50万元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w:t>
      </w:r>
      <w:r>
        <w:rPr>
          <w:rFonts w:hint="eastAsia" w:eastAsia="仿宋_GB2312" w:cs="仿宋_GB2312"/>
          <w:color w:val="auto"/>
          <w:kern w:val="2"/>
          <w:sz w:val="32"/>
          <w:szCs w:val="32"/>
          <w:highlight w:val="none"/>
          <w:lang w:val="en-US" w:eastAsia="zh-CN" w:bidi="ar-SA"/>
        </w:rPr>
        <w:t>2023年</w:t>
      </w:r>
      <w:r>
        <w:rPr>
          <w:rFonts w:hint="eastAsia" w:ascii="Times New Roman" w:hAnsi="Times New Roman" w:eastAsia="仿宋_GB2312" w:cs="仿宋_GB2312"/>
          <w:color w:val="auto"/>
          <w:kern w:val="2"/>
          <w:sz w:val="32"/>
          <w:szCs w:val="32"/>
          <w:highlight w:val="none"/>
          <w:lang w:val="en-US" w:eastAsia="zh-CN" w:bidi="ar-SA"/>
        </w:rPr>
        <w:t>增加100%，原因是林火视频监控项目为农村基础设施建设项目，按要求支付进度款。</w:t>
      </w:r>
    </w:p>
    <w:p w14:paraId="2A5A299E">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36" w:name="_Toc15377219"/>
      <w:bookmarkStart w:id="37" w:name="_Toc15396611"/>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6"/>
      <w:bookmarkEnd w:id="37"/>
    </w:p>
    <w:p w14:paraId="50F82D4E">
      <w:pPr>
        <w:spacing w:line="600" w:lineRule="exact"/>
        <w:ind w:firstLine="640"/>
        <w:rPr>
          <w:rFonts w:hint="eastAsia"/>
          <w:lang w:val="en-US"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2024年度国有资本经营预算财政拨款支出0万元。</w:t>
      </w:r>
    </w:p>
    <w:p w14:paraId="12C58AD3">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38" w:name="_Toc15396612"/>
      <w:bookmarkStart w:id="39"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8"/>
      <w:bookmarkEnd w:id="39"/>
    </w:p>
    <w:p w14:paraId="2C5EA5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22"/>
      <w:r>
        <w:rPr>
          <w:rFonts w:hint="eastAsia" w:ascii="Times New Roman" w:hAnsi="Times New Roman" w:eastAsia="楷体_GB2312" w:cs="楷体_GB2312"/>
          <w:b/>
          <w:color w:val="auto"/>
          <w:sz w:val="32"/>
          <w:szCs w:val="32"/>
          <w:highlight w:val="none"/>
        </w:rPr>
        <w:t>（一）机关运行经费支出情况</w:t>
      </w:r>
      <w:bookmarkEnd w:id="40"/>
    </w:p>
    <w:p w14:paraId="677217E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2024年度，攀枝花市林业局机关运行经费支出125.09 121.98万元，比2023年度减少3.11万元，降低19.16%。主要原因</w:t>
      </w:r>
      <w:r>
        <w:rPr>
          <w:rFonts w:hint="eastAsia" w:eastAsia="仿宋_GB2312" w:cs="仿宋_GB2312"/>
          <w:color w:val="auto"/>
          <w:kern w:val="2"/>
          <w:sz w:val="32"/>
          <w:szCs w:val="32"/>
          <w:highlight w:val="none"/>
          <w:lang w:val="en-US" w:eastAsia="zh-CN" w:bidi="ar-SA"/>
        </w:rPr>
        <w:t>是</w:t>
      </w:r>
      <w:r>
        <w:rPr>
          <w:rFonts w:hint="eastAsia" w:ascii="Times New Roman" w:hAnsi="Times New Roman" w:eastAsia="仿宋_GB2312" w:cs="仿宋_GB2312"/>
          <w:color w:val="auto"/>
          <w:kern w:val="2"/>
          <w:sz w:val="32"/>
          <w:szCs w:val="32"/>
          <w:highlight w:val="none"/>
          <w:lang w:val="en-US" w:eastAsia="zh-CN" w:bidi="ar-SA"/>
        </w:rPr>
        <w:t>厉行节约，加强经费管理，减少费用支出。</w:t>
      </w:r>
    </w:p>
    <w:p w14:paraId="7189ECC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3"/>
      <w:r>
        <w:rPr>
          <w:rFonts w:hint="eastAsia" w:ascii="Times New Roman" w:hAnsi="Times New Roman" w:eastAsia="楷体_GB2312" w:cs="楷体_GB2312"/>
          <w:b/>
          <w:color w:val="auto"/>
          <w:sz w:val="32"/>
          <w:szCs w:val="32"/>
          <w:highlight w:val="none"/>
        </w:rPr>
        <w:t>（二）政府采购支出情况</w:t>
      </w:r>
      <w:bookmarkEnd w:id="41"/>
    </w:p>
    <w:p w14:paraId="5F5395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攀枝花市林业局（本级）</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6.33</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1.8</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4.54</w:t>
      </w:r>
      <w:r>
        <w:rPr>
          <w:rFonts w:hint="eastAsia" w:ascii="仿宋_GB2312" w:hAnsi="仿宋_GB2312" w:eastAsia="仿宋_GB2312" w:cs="仿宋_GB2312"/>
          <w:color w:val="auto"/>
          <w:kern w:val="2"/>
          <w:sz w:val="32"/>
          <w:szCs w:val="32"/>
          <w:highlight w:val="none"/>
          <w:lang w:val="en-US" w:eastAsia="zh-CN" w:bidi="ar-SA"/>
        </w:rPr>
        <w:t>万元。主要用于公务车用油及办公设施设备采购。授予中小企业合同金额</w:t>
      </w:r>
      <w:r>
        <w:rPr>
          <w:rFonts w:hint="eastAsia" w:ascii="仿宋_GB2312" w:hAnsi="仿宋_GB2312" w:eastAsia="仿宋_GB2312" w:cs="仿宋_GB2312"/>
          <w:sz w:val="32"/>
          <w:szCs w:val="32"/>
        </w:rPr>
        <w:t>6.33</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1.8</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28.39</w:t>
      </w:r>
      <w:r>
        <w:rPr>
          <w:rFonts w:hint="eastAsia" w:ascii="仿宋_GB2312" w:hAnsi="仿宋_GB2312" w:eastAsia="仿宋_GB2312" w:cs="仿宋_GB2312"/>
          <w:color w:val="auto"/>
          <w:kern w:val="2"/>
          <w:sz w:val="32"/>
          <w:szCs w:val="32"/>
          <w:highlight w:val="none"/>
          <w:lang w:val="en-US" w:eastAsia="zh-CN" w:bidi="ar-SA"/>
        </w:rPr>
        <w:t>%。</w:t>
      </w:r>
    </w:p>
    <w:p w14:paraId="7843A2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4"/>
      <w:r>
        <w:rPr>
          <w:rFonts w:hint="eastAsia" w:ascii="Times New Roman" w:hAnsi="Times New Roman" w:eastAsia="楷体_GB2312" w:cs="楷体_GB2312"/>
          <w:b/>
          <w:color w:val="auto"/>
          <w:sz w:val="32"/>
          <w:szCs w:val="32"/>
          <w:highlight w:val="none"/>
        </w:rPr>
        <w:t>（三）国有资产占有使用情况</w:t>
      </w:r>
      <w:bookmarkEnd w:id="42"/>
    </w:p>
    <w:p w14:paraId="3C2BFC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攀枝花市林业局（本级）</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4</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辆，其他用车主要是用于日常工作开展。单价100万元（含）以上设备（不含车辆）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7475BA3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ACE720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攀枝花市林业局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在2024年度预算编制阶段，组织对生态功能区转移支付资金</w:t>
      </w:r>
      <w:r>
        <w:rPr>
          <w:rFonts w:hint="eastAsia" w:eastAsia="仿宋_GB2312" w:cs="仿宋_GB2312"/>
          <w:color w:val="auto"/>
          <w:kern w:val="2"/>
          <w:sz w:val="32"/>
          <w:szCs w:val="32"/>
          <w:highlight w:val="none"/>
          <w:lang w:val="en-US" w:eastAsia="zh-CN" w:bidi="ar-SA"/>
        </w:rPr>
        <w:t>、攀枝花市森林火灾高危区综合治理工程建设项目、攀枝花市2024年“成都世界园艺博览会”会展服务</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11</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11</w:t>
      </w:r>
      <w:bookmarkStart w:id="61" w:name="_GoBack"/>
      <w:bookmarkEnd w:id="61"/>
      <w:r>
        <w:rPr>
          <w:rFonts w:hint="eastAsia" w:ascii="Times New Roman" w:hAnsi="Times New Roman" w:eastAsia="仿宋_GB2312" w:cs="仿宋_GB2312"/>
          <w:color w:val="auto"/>
          <w:kern w:val="2"/>
          <w:sz w:val="32"/>
          <w:szCs w:val="32"/>
          <w:highlight w:val="none"/>
          <w:lang w:val="en-US" w:eastAsia="zh-CN" w:bidi="ar-SA"/>
        </w:rPr>
        <w:t>个项目开展绩效监控。绩效自评报告详见附件。</w:t>
      </w:r>
    </w:p>
    <w:p w14:paraId="3593104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sectPr>
          <w:footerReference r:id="rId8" w:type="first"/>
          <w:footerReference r:id="rId7" w:type="default"/>
          <w:pgSz w:w="11906" w:h="16838"/>
          <w:pgMar w:top="1440" w:right="1800" w:bottom="1440" w:left="1800" w:header="851" w:footer="992" w:gutter="0"/>
          <w:pgNumType w:fmt="numberInDash"/>
          <w:cols w:space="425" w:num="1"/>
          <w:titlePg/>
          <w:docGrid w:type="lines" w:linePitch="312" w:charSpace="0"/>
        </w:sectPr>
      </w:pPr>
    </w:p>
    <w:p w14:paraId="62689469">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3" w:name="_Toc15377225"/>
      <w:bookmarkStart w:id="44"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3"/>
      <w:bookmarkEnd w:id="44"/>
    </w:p>
    <w:p w14:paraId="0A74BF7B">
      <w:pPr>
        <w:spacing w:line="600" w:lineRule="exact"/>
        <w:jc w:val="left"/>
        <w:rPr>
          <w:rFonts w:ascii="Times New Roman" w:hAnsi="Times New Roman"/>
          <w:b/>
          <w:color w:val="auto"/>
          <w:sz w:val="44"/>
          <w:szCs w:val="44"/>
          <w:highlight w:val="none"/>
        </w:rPr>
      </w:pPr>
    </w:p>
    <w:p w14:paraId="7F5544D9">
      <w:pPr>
        <w:pStyle w:val="27"/>
        <w:spacing w:line="560" w:lineRule="exact"/>
        <w:ind w:firstLine="640" w:firstLineChars="200"/>
        <w:outlineLvl w:val="1"/>
        <w:rPr>
          <w:rFonts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仿宋_GB2312" w:eastAsia="仿宋_GB2312"/>
          <w:color w:val="auto"/>
          <w:sz w:val="32"/>
          <w:szCs w:val="32"/>
        </w:rPr>
        <w:t>财政拨款收入：指单位从同级财政部门取得的财政预算资金。</w:t>
      </w:r>
    </w:p>
    <w:p w14:paraId="32B4AACB">
      <w:pPr>
        <w:pStyle w:val="27"/>
        <w:spacing w:line="560" w:lineRule="exact"/>
        <w:ind w:firstLine="640" w:firstLineChars="200"/>
        <w:rPr>
          <w:rFonts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2.</w:t>
      </w:r>
      <w:r>
        <w:rPr>
          <w:rFonts w:hint="eastAsia" w:ascii="仿宋_GB2312" w:eastAsia="仿宋_GB2312"/>
          <w:color w:val="auto"/>
          <w:sz w:val="32"/>
          <w:szCs w:val="32"/>
        </w:rPr>
        <w:t>事业收入：指事业单位开展专业业务活动及辅助活动取得的收入。</w:t>
      </w:r>
    </w:p>
    <w:p w14:paraId="04371AAA">
      <w:pPr>
        <w:pStyle w:val="27"/>
        <w:spacing w:line="560" w:lineRule="exact"/>
        <w:ind w:firstLine="640" w:firstLineChars="200"/>
        <w:rPr>
          <w:rFonts w:hint="eastAsia"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3.</w:t>
      </w:r>
      <w:r>
        <w:rPr>
          <w:rFonts w:hint="eastAsia" w:ascii="仿宋_GB2312" w:eastAsia="仿宋_GB2312"/>
          <w:color w:val="auto"/>
          <w:sz w:val="32"/>
          <w:szCs w:val="32"/>
        </w:rPr>
        <w:t>经营收入：指事业单位在专业业务活动及其辅助活动之外开展非独立核算经营活动取得的收入。</w:t>
      </w:r>
    </w:p>
    <w:p w14:paraId="3F4A68E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w:t>
      </w:r>
      <w:r>
        <w:rPr>
          <w:rFonts w:hint="eastAsia" w:ascii="仿宋_GB2312" w:hAnsi="微软雅黑" w:eastAsia="仿宋_GB2312"/>
          <w:color w:val="333333"/>
          <w:sz w:val="32"/>
          <w:szCs w:val="32"/>
        </w:rPr>
        <w:t>除财政拨款收入、事业收入、经营收入以外的其他收入</w:t>
      </w:r>
      <w:r>
        <w:rPr>
          <w:rFonts w:hint="eastAsia" w:ascii="仿宋_GB2312" w:eastAsia="仿宋_GB2312"/>
          <w:color w:val="auto"/>
          <w:sz w:val="32"/>
          <w:szCs w:val="32"/>
        </w:rPr>
        <w:t>等。</w:t>
      </w:r>
      <w:r>
        <w:rPr>
          <w:rFonts w:ascii="仿宋_GB2312" w:eastAsia="仿宋_GB2312"/>
          <w:color w:val="auto"/>
          <w:sz w:val="32"/>
          <w:szCs w:val="32"/>
        </w:rPr>
        <w:t xml:space="preserve"> </w:t>
      </w:r>
    </w:p>
    <w:p w14:paraId="644F3770">
      <w:pPr>
        <w:pStyle w:val="27"/>
        <w:spacing w:line="560" w:lineRule="exact"/>
        <w:ind w:firstLine="640" w:firstLineChars="200"/>
        <w:rPr>
          <w:rFonts w:ascii="仿宋_GB2312" w:eastAsia="仿宋_GB2312"/>
          <w:color w:val="auto"/>
          <w:sz w:val="32"/>
          <w:szCs w:val="32"/>
        </w:rPr>
      </w:pPr>
      <w:r>
        <w:rPr>
          <w:rFonts w:hint="eastAsia" w:ascii="Times New Roman" w:hAnsi="Times New Roman" w:eastAsia="仿宋_GB2312" w:cs="仿宋_GB2312"/>
          <w:color w:val="auto"/>
          <w:kern w:val="2"/>
          <w:sz w:val="32"/>
          <w:szCs w:val="32"/>
          <w:highlight w:val="none"/>
          <w:lang w:val="en-US" w:eastAsia="zh-CN" w:bidi="ar-SA"/>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035F5493">
      <w:pPr>
        <w:pStyle w:val="27"/>
        <w:spacing w:line="56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4A90F30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4DDA71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2AC5C774">
      <w:pPr>
        <w:ind w:firstLine="640" w:firstLineChars="200"/>
        <w:rPr>
          <w:rFonts w:ascii="仿宋_GB2312" w:eastAsia="仿宋_GB2312"/>
          <w:sz w:val="32"/>
          <w:szCs w:val="32"/>
        </w:rPr>
      </w:pPr>
      <w:r>
        <w:rPr>
          <w:rFonts w:hint="eastAsia" w:eastAsia="仿宋_GB2312" w:cs="仿宋_GB2312"/>
          <w:color w:val="auto"/>
          <w:kern w:val="2"/>
          <w:sz w:val="32"/>
          <w:szCs w:val="32"/>
          <w:highlight w:val="none"/>
          <w:lang w:val="en-US" w:eastAsia="zh-CN" w:bidi="ar-SA"/>
        </w:rPr>
        <w:t>9.</w:t>
      </w:r>
      <w:r>
        <w:rPr>
          <w:rFonts w:hint="eastAsia" w:ascii="仿宋_GB2312" w:eastAsia="仿宋_GB2312"/>
          <w:sz w:val="32"/>
          <w:szCs w:val="32"/>
        </w:rPr>
        <w:t>社会保障和就业（类）人力资源和社会保障管理事务（款）其他人力资源和社会保障管理事务支出（项）：指其他用于人力资源和社会保障管理事务方面的支出。行政事业单位养老支出（款）行政单位离退休、事业单位离退休、机关事业单位基本养老保险缴费支出（项）：指行政单位（包括实行公务员管理的事业单位）开支的离退休经费。抚恤（款）死亡抚恤（项）：指按规定用于烈士和牺牲、病故人员家属的一次性和定期抚恤金、丧葬补助费以及烈士褒扬金。社会福利（款）儿童福利（项）指对儿童提供福利服务方面的支出。</w:t>
      </w:r>
    </w:p>
    <w:p w14:paraId="556A075D">
      <w:pPr>
        <w:ind w:firstLine="640" w:firstLineChars="200"/>
        <w:rPr>
          <w:rFonts w:ascii="仿宋_GB2312" w:eastAsia="仿宋_GB2312"/>
          <w:sz w:val="32"/>
          <w:szCs w:val="32"/>
        </w:rPr>
      </w:pPr>
      <w:r>
        <w:rPr>
          <w:rFonts w:hint="eastAsia" w:eastAsia="仿宋_GB2312" w:cs="仿宋_GB2312"/>
          <w:color w:val="auto"/>
          <w:kern w:val="2"/>
          <w:sz w:val="32"/>
          <w:szCs w:val="32"/>
          <w:highlight w:val="none"/>
          <w:lang w:val="en-US" w:eastAsia="zh-CN" w:bidi="ar-SA"/>
        </w:rPr>
        <w:t>10.</w:t>
      </w:r>
      <w:r>
        <w:rPr>
          <w:rFonts w:hint="eastAsia" w:ascii="仿宋_GB2312" w:eastAsia="仿宋_GB2312"/>
          <w:sz w:val="32"/>
          <w:szCs w:val="32"/>
        </w:rPr>
        <w:t>农林水支出（类）林业和草原（款）行政运行、事业机构、森林资源培育、森林资源管理、森林生态效益补偿、自然保护区等管理、林业草原防灾减灾、其他林业和草原支出（项）：指反映行政单位（包括实行公务员管理的事业单位）的基本支出；事业单位的基本支出，不包括行政单位后勤服务中心等附属事业单位的支出；育苗、造林、抚育、退化林修复、义务植树以及生物质能源建设等方面的支出；森林资源核查、监测、评估、经营利用、林地保护等方面的支出；用于公益林保护和管理等方面的支出；用于病虫害等有害生物灾害、森林草原防火、野生动物疫病灾害等方面的支出。</w:t>
      </w:r>
    </w:p>
    <w:p w14:paraId="41128D0D">
      <w:pPr>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11.</w:t>
      </w:r>
      <w:r>
        <w:rPr>
          <w:rFonts w:hint="eastAsia" w:ascii="仿宋_GB2312" w:eastAsia="仿宋_GB2312"/>
          <w:sz w:val="32"/>
          <w:szCs w:val="32"/>
        </w:rPr>
        <w:t>住房保障支出（类）住房改革支出（款）住房公积金（项）</w:t>
      </w:r>
      <w:r>
        <w:rPr>
          <w:rFonts w:hint="eastAsia" w:ascii="仿宋_GB2312" w:eastAsia="仿宋_GB2312"/>
          <w:sz w:val="32"/>
          <w:szCs w:val="32"/>
          <w:lang w:eastAsia="zh-CN"/>
        </w:rPr>
        <w:t>：</w:t>
      </w:r>
      <w:r>
        <w:rPr>
          <w:rFonts w:hint="eastAsia" w:ascii="仿宋_GB2312" w:eastAsia="仿宋_GB2312"/>
          <w:sz w:val="32"/>
          <w:szCs w:val="32"/>
        </w:rPr>
        <w:t>指反映行政事业单位按人力资源和社会保障部、财政部规定的基本工资和津贴补贴以及规定比例为职工缴纳的住房公积金。</w:t>
      </w:r>
    </w:p>
    <w:p w14:paraId="71F044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0D11FC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16D7F3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78968F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921124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7597F90">
      <w:pPr>
        <w:pStyle w:val="8"/>
        <w:rPr>
          <w:rFonts w:hint="eastAsia" w:ascii="Times New Roman" w:hAnsi="Times New Roman" w:eastAsia="仿宋_GB2312" w:cs="仿宋_GB2312"/>
          <w:color w:val="auto"/>
          <w:kern w:val="2"/>
          <w:sz w:val="32"/>
          <w:szCs w:val="32"/>
          <w:highlight w:val="none"/>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555891BA">
      <w:pPr>
        <w:pStyle w:val="8"/>
        <w:rPr>
          <w:rFonts w:hint="eastAsia" w:ascii="Times New Roman" w:hAnsi="Times New Roman" w:eastAsia="仿宋_GB2312" w:cs="仿宋_GB2312"/>
          <w:color w:val="auto"/>
          <w:kern w:val="2"/>
          <w:sz w:val="32"/>
          <w:szCs w:val="32"/>
          <w:highlight w:val="none"/>
          <w:lang w:val="en-US" w:eastAsia="zh-CN" w:bidi="ar-SA"/>
        </w:rPr>
      </w:pPr>
    </w:p>
    <w:p w14:paraId="6021A1EC">
      <w:pPr>
        <w:spacing w:line="600" w:lineRule="exact"/>
        <w:jc w:val="center"/>
        <w:rPr>
          <w:rStyle w:val="29"/>
          <w:rFonts w:hint="eastAsia" w:ascii="Times New Roman" w:hAnsi="Times New Roman" w:eastAsia="黑体"/>
          <w:b w:val="0"/>
          <w:color w:val="auto"/>
          <w:highlight w:val="none"/>
          <w:lang w:eastAsia="zh-CN"/>
        </w:rPr>
      </w:pPr>
      <w:bookmarkStart w:id="45" w:name="_Toc15396614"/>
      <w:bookmarkStart w:id="46" w:name="_Toc15377226"/>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5"/>
    </w:p>
    <w:p w14:paraId="75F09FA1">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3C725290">
      <w:pPr>
        <w:keepNext w:val="0"/>
        <w:keepLines w:val="0"/>
        <w:pageBreakBefore w:val="0"/>
        <w:widowControl w:val="0"/>
        <w:kinsoku/>
        <w:wordWrap/>
        <w:overflowPunct/>
        <w:topLinePunct w:val="0"/>
        <w:autoSpaceDE/>
        <w:autoSpaceDN/>
        <w:bidi w:val="0"/>
        <w:adjustRightInd/>
        <w:snapToGrid/>
        <w:spacing w:line="572" w:lineRule="exact"/>
        <w:ind w:left="0" w:firstLine="640" w:firstLineChars="200"/>
        <w:jc w:val="left"/>
        <w:textAlignment w:val="auto"/>
        <w:outlineLvl w:val="0"/>
        <w:rPr>
          <w:rFonts w:hint="default" w:eastAsia="黑体" w:cs="黑体"/>
          <w:b w:val="0"/>
          <w:bCs w:val="0"/>
          <w:color w:val="auto"/>
          <w:sz w:val="32"/>
          <w:szCs w:val="32"/>
          <w:highlight w:val="none"/>
          <w:lang w:val="en-US" w:eastAsia="zh-CN"/>
        </w:rPr>
      </w:pPr>
      <w:r>
        <w:rPr>
          <w:rFonts w:hint="eastAsia" w:eastAsia="黑体" w:cs="黑体"/>
          <w:b w:val="0"/>
          <w:bCs w:val="0"/>
          <w:color w:val="auto"/>
          <w:sz w:val="32"/>
          <w:szCs w:val="32"/>
          <w:highlight w:val="none"/>
          <w:lang w:val="en-US" w:eastAsia="zh-CN"/>
        </w:rPr>
        <w:t>部门预算项目支出绩效自评表（2024年度）见附件3</w:t>
      </w:r>
    </w:p>
    <w:p w14:paraId="20F58103">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024BEC38">
      <w:pPr>
        <w:pStyle w:val="8"/>
        <w:rPr>
          <w:rFonts w:hint="eastAsia" w:ascii="Times New Roman" w:hAnsi="Times New Roman" w:cs="宋体"/>
          <w:color w:val="FF0000"/>
          <w:kern w:val="0"/>
          <w:sz w:val="32"/>
          <w:szCs w:val="32"/>
          <w:highlight w:val="yellow"/>
          <w:shd w:val="clear" w:color="auto" w:fill="FFFFFF"/>
          <w:lang w:val="zh-CN"/>
        </w:rPr>
      </w:pPr>
    </w:p>
    <w:p w14:paraId="39274863">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51D9C82F">
      <w:pPr>
        <w:widowControl/>
        <w:jc w:val="center"/>
        <w:rPr>
          <w:rFonts w:hint="eastAsia" w:ascii="Times New Roman" w:hAnsi="Times New Roman" w:eastAsia="仿宋"/>
          <w:b w:val="0"/>
          <w:color w:val="auto"/>
          <w:highlight w:val="none"/>
        </w:rPr>
      </w:pPr>
      <w:bookmarkStart w:id="47" w:name="_Toc15396618"/>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6"/>
      <w:bookmarkEnd w:id="47"/>
      <w:bookmarkStart w:id="48" w:name="_Toc15396619"/>
    </w:p>
    <w:p w14:paraId="49BC781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98EE11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8"/>
    </w:p>
    <w:p w14:paraId="2A14370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9" w:name="_Toc15396620"/>
      <w:r>
        <w:rPr>
          <w:rFonts w:hint="eastAsia" w:ascii="Times New Roman" w:hAnsi="Times New Roman" w:eastAsia="仿宋_GB2312" w:cs="仿宋_GB2312"/>
          <w:color w:val="auto"/>
          <w:sz w:val="32"/>
          <w:szCs w:val="32"/>
          <w:highlight w:val="none"/>
        </w:rPr>
        <w:t>二、收入决算表</w:t>
      </w:r>
      <w:bookmarkEnd w:id="49"/>
    </w:p>
    <w:p w14:paraId="5AE99CF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1"/>
      <w:r>
        <w:rPr>
          <w:rFonts w:hint="eastAsia" w:ascii="Times New Roman" w:hAnsi="Times New Roman" w:eastAsia="仿宋_GB2312" w:cs="仿宋_GB2312"/>
          <w:color w:val="auto"/>
          <w:sz w:val="32"/>
          <w:szCs w:val="32"/>
          <w:highlight w:val="none"/>
        </w:rPr>
        <w:t>三、支出决算表</w:t>
      </w:r>
      <w:bookmarkEnd w:id="50"/>
    </w:p>
    <w:p w14:paraId="6F62A7E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2"/>
      <w:r>
        <w:rPr>
          <w:rFonts w:hint="eastAsia" w:ascii="Times New Roman" w:hAnsi="Times New Roman" w:eastAsia="仿宋_GB2312" w:cs="仿宋_GB2312"/>
          <w:color w:val="auto"/>
          <w:sz w:val="32"/>
          <w:szCs w:val="32"/>
          <w:highlight w:val="none"/>
        </w:rPr>
        <w:t>四、财政拨款收入支出决算总表</w:t>
      </w:r>
      <w:bookmarkEnd w:id="51"/>
    </w:p>
    <w:p w14:paraId="3808099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3"/>
      <w:r>
        <w:rPr>
          <w:rFonts w:hint="eastAsia" w:ascii="Times New Roman" w:hAnsi="Times New Roman" w:eastAsia="仿宋_GB2312" w:cs="仿宋_GB2312"/>
          <w:color w:val="auto"/>
          <w:sz w:val="32"/>
          <w:szCs w:val="32"/>
          <w:highlight w:val="none"/>
        </w:rPr>
        <w:t>五、财政拨款支出决算明细表</w:t>
      </w:r>
      <w:bookmarkEnd w:id="52"/>
      <w:bookmarkStart w:id="53" w:name="_Toc15396624"/>
    </w:p>
    <w:p w14:paraId="76CC746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3"/>
    </w:p>
    <w:p w14:paraId="0D82B8B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5"/>
      <w:r>
        <w:rPr>
          <w:rFonts w:hint="eastAsia" w:ascii="Times New Roman" w:hAnsi="Times New Roman" w:eastAsia="仿宋_GB2312" w:cs="仿宋_GB2312"/>
          <w:color w:val="auto"/>
          <w:sz w:val="32"/>
          <w:szCs w:val="32"/>
          <w:highlight w:val="none"/>
        </w:rPr>
        <w:t>七、一般公共预算财政拨款支出决算明细表</w:t>
      </w:r>
      <w:bookmarkEnd w:id="54"/>
    </w:p>
    <w:p w14:paraId="79C3C6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6"/>
      <w:r>
        <w:rPr>
          <w:rFonts w:hint="eastAsia" w:ascii="Times New Roman" w:hAnsi="Times New Roman" w:eastAsia="仿宋_GB2312" w:cs="仿宋_GB2312"/>
          <w:color w:val="auto"/>
          <w:sz w:val="32"/>
          <w:szCs w:val="32"/>
          <w:highlight w:val="none"/>
        </w:rPr>
        <w:t>八、一般公共预算财政拨款基本支出决算表</w:t>
      </w:r>
      <w:bookmarkEnd w:id="55"/>
    </w:p>
    <w:p w14:paraId="705DD31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7"/>
      <w:r>
        <w:rPr>
          <w:rFonts w:hint="eastAsia" w:ascii="Times New Roman" w:hAnsi="Times New Roman" w:eastAsia="仿宋_GB2312" w:cs="仿宋_GB2312"/>
          <w:color w:val="auto"/>
          <w:sz w:val="32"/>
          <w:szCs w:val="32"/>
          <w:highlight w:val="none"/>
        </w:rPr>
        <w:t>九、一般公共预算财政拨款项目支出决算表</w:t>
      </w:r>
      <w:bookmarkEnd w:id="56"/>
    </w:p>
    <w:p w14:paraId="23408AE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8"/>
      <w:r>
        <w:rPr>
          <w:rFonts w:hint="eastAsia" w:ascii="Times New Roman" w:hAnsi="Times New Roman" w:eastAsia="仿宋_GB2312" w:cs="仿宋_GB2312"/>
          <w:color w:val="auto"/>
          <w:sz w:val="32"/>
          <w:szCs w:val="32"/>
          <w:highlight w:val="none"/>
        </w:rPr>
        <w:t>十、</w:t>
      </w:r>
      <w:bookmarkEnd w:id="57"/>
      <w:r>
        <w:rPr>
          <w:rFonts w:hint="eastAsia" w:ascii="Times New Roman" w:hAnsi="Times New Roman" w:eastAsia="仿宋_GB2312" w:cs="仿宋_GB2312"/>
          <w:color w:val="auto"/>
          <w:sz w:val="32"/>
          <w:szCs w:val="32"/>
          <w:highlight w:val="none"/>
        </w:rPr>
        <w:t>政府性基金预算财政拨款收入支出决算表</w:t>
      </w:r>
    </w:p>
    <w:p w14:paraId="4403362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9"/>
      <w:r>
        <w:rPr>
          <w:rFonts w:hint="eastAsia" w:ascii="Times New Roman" w:hAnsi="Times New Roman" w:eastAsia="仿宋_GB2312" w:cs="仿宋_GB2312"/>
          <w:color w:val="auto"/>
          <w:sz w:val="32"/>
          <w:szCs w:val="32"/>
          <w:highlight w:val="none"/>
        </w:rPr>
        <w:t>十一、</w:t>
      </w:r>
      <w:bookmarkEnd w:id="5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15410E4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30"/>
      <w:r>
        <w:rPr>
          <w:rFonts w:hint="eastAsia" w:ascii="Times New Roman" w:hAnsi="Times New Roman" w:eastAsia="仿宋_GB2312" w:cs="仿宋_GB2312"/>
          <w:color w:val="auto"/>
          <w:sz w:val="32"/>
          <w:szCs w:val="32"/>
          <w:highlight w:val="none"/>
        </w:rPr>
        <w:t>十二、</w:t>
      </w:r>
      <w:bookmarkEnd w:id="59"/>
      <w:r>
        <w:rPr>
          <w:rFonts w:hint="eastAsia" w:ascii="Times New Roman" w:hAnsi="Times New Roman" w:eastAsia="仿宋_GB2312" w:cs="仿宋_GB2312"/>
          <w:color w:val="auto"/>
          <w:sz w:val="32"/>
          <w:szCs w:val="32"/>
          <w:highlight w:val="none"/>
          <w:lang w:eastAsia="zh-CN"/>
        </w:rPr>
        <w:t>国有资本经营预算财政拨款支出决算表</w:t>
      </w:r>
    </w:p>
    <w:p w14:paraId="1CDDA72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0" w:name="_Toc15396631"/>
      <w:r>
        <w:rPr>
          <w:rFonts w:hint="eastAsia" w:ascii="Times New Roman" w:hAnsi="Times New Roman" w:eastAsia="仿宋_GB2312" w:cs="仿宋_GB2312"/>
          <w:color w:val="auto"/>
          <w:sz w:val="32"/>
          <w:szCs w:val="32"/>
          <w:highlight w:val="none"/>
        </w:rPr>
        <w:t>十三、</w:t>
      </w:r>
      <w:bookmarkEnd w:id="60"/>
      <w:r>
        <w:rPr>
          <w:rFonts w:hint="eastAsia" w:ascii="Times New Roman" w:hAnsi="Times New Roman" w:eastAsia="仿宋_GB2312" w:cs="仿宋_GB2312"/>
          <w:color w:val="auto"/>
          <w:sz w:val="32"/>
          <w:szCs w:val="32"/>
          <w:highlight w:val="none"/>
          <w:lang w:eastAsia="zh-CN"/>
        </w:rPr>
        <w:t>财政拨款“三公”经费支出决算表</w:t>
      </w:r>
    </w:p>
    <w:p w14:paraId="694C2F4A">
      <w:pPr>
        <w:rPr>
          <w:rFonts w:hint="eastAsia" w:ascii="Times New Roman" w:hAnsi="Times New Roman"/>
          <w:lang w:eastAsia="zh-CN"/>
        </w:rPr>
      </w:pPr>
    </w:p>
    <w:sectPr>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FFA2">
    <w:pPr>
      <w:pStyle w:val="11"/>
      <w:jc w:val="center"/>
    </w:pPr>
  </w:p>
  <w:p w14:paraId="44A0DF6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2A6C3">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E7B1B">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EE7B1B">
                    <w:pPr>
                      <w:pStyle w:val="11"/>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v:textbox>
            </v:shape>
          </w:pict>
        </mc:Fallback>
      </mc:AlternateContent>
    </w:r>
  </w:p>
  <w:p w14:paraId="260683CA">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39CBA">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B2691">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5B2691">
                    <w:pPr>
                      <w:pStyle w:val="11"/>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- 1 -</w:t>
                    </w:r>
                    <w:r>
                      <w:rPr>
                        <w:rFonts w:hint="default" w:ascii="Times New Roman" w:hAnsi="Times New Roman" w:cs="Times New Roman"/>
                        <w:sz w:val="24"/>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38DE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1892300</wp:posOffset>
              </wp:positionH>
              <wp:positionV relativeFrom="paragraph">
                <wp:posOffset>0</wp:posOffset>
              </wp:positionV>
              <wp:extent cx="1200785" cy="3232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00785" cy="3232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046149">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49pt;margin-top:0pt;height:25.45pt;width:94.55pt;mso-position-horizontal-relative:margin;z-index:251659264;mso-width-relative:page;mso-height-relative:page;" filled="f" stroked="f" coordsize="21600,21600" o:gfxdata="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kNXgjXAAAABwEAAA8AAAAAAAAAAQAgAAAAIgAAAGRycy9kb3ducmV2&#10;LnhtbFBLAQIUABQAAAAIAIdO4kDoVzENNgIAAGIEAAAOAAAAAAAAAAEAIAAAACYBAABkcnMvZTJv&#10;RG9jLnhtbFBLBQYAAAAABgAGAFkBAADOBQAAAAA=&#10;">
              <v:fill on="f" focussize="0,0"/>
              <v:stroke on="f" weight="0.5pt"/>
              <v:imagedata o:title=""/>
              <o:lock v:ext="edit" aspectratio="f"/>
              <v:textbox inset="0mm,0mm,0mm,0mm">
                <w:txbxContent>
                  <w:p w14:paraId="69046149">
                    <w:pPr>
                      <w:pStyle w:val="11"/>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- 2 -</w:t>
                    </w:r>
                    <w:r>
                      <w:rPr>
                        <w:sz w:val="24"/>
                        <w:szCs w:val="24"/>
                      </w:rPr>
                      <w:fldChar w:fldCharType="end"/>
                    </w:r>
                    <w:r>
                      <w:t xml:space="preserve"> —</w:t>
                    </w:r>
                  </w:p>
                </w:txbxContent>
              </v:textbox>
            </v:shape>
          </w:pict>
        </mc:Fallback>
      </mc:AlternateContent>
    </w:r>
  </w:p>
  <w:p w14:paraId="59E58185">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DD38">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F34D2">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C5F34D2">
                    <w:pPr>
                      <w:pStyle w:val="11"/>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4273A">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49E96A"/>
    <w:multiLevelType w:val="singleLevel"/>
    <w:tmpl w:val="8B49E96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625BCA"/>
    <w:rsid w:val="061E35DE"/>
    <w:rsid w:val="066E0107"/>
    <w:rsid w:val="07996F6E"/>
    <w:rsid w:val="07DFD8BA"/>
    <w:rsid w:val="08D104A7"/>
    <w:rsid w:val="09867E8F"/>
    <w:rsid w:val="0A2032A3"/>
    <w:rsid w:val="0CA8290A"/>
    <w:rsid w:val="0D35B1ED"/>
    <w:rsid w:val="0E254B6B"/>
    <w:rsid w:val="0E444E8C"/>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4D1146"/>
    <w:rsid w:val="281408E2"/>
    <w:rsid w:val="29FD04D3"/>
    <w:rsid w:val="2BFF7BC6"/>
    <w:rsid w:val="2C8A61B5"/>
    <w:rsid w:val="2CD7693C"/>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641DA7"/>
    <w:rsid w:val="3E740A63"/>
    <w:rsid w:val="3E78745D"/>
    <w:rsid w:val="3EE17838"/>
    <w:rsid w:val="3F55381A"/>
    <w:rsid w:val="3F7F7599"/>
    <w:rsid w:val="3FF4CAE0"/>
    <w:rsid w:val="3FF7B227"/>
    <w:rsid w:val="44E268DA"/>
    <w:rsid w:val="450D13D7"/>
    <w:rsid w:val="45506656"/>
    <w:rsid w:val="486A6C7A"/>
    <w:rsid w:val="493A5973"/>
    <w:rsid w:val="4A627F82"/>
    <w:rsid w:val="4B0E749A"/>
    <w:rsid w:val="4B2477C4"/>
    <w:rsid w:val="4B4F25DA"/>
    <w:rsid w:val="4BE068DB"/>
    <w:rsid w:val="4D577224"/>
    <w:rsid w:val="4DBF1CEB"/>
    <w:rsid w:val="4DF0007C"/>
    <w:rsid w:val="4EAB630A"/>
    <w:rsid w:val="4ECE2238"/>
    <w:rsid w:val="4F78176B"/>
    <w:rsid w:val="4F833267"/>
    <w:rsid w:val="4FE9BD67"/>
    <w:rsid w:val="4FFB052F"/>
    <w:rsid w:val="51086040"/>
    <w:rsid w:val="52FC3600"/>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0725A9F"/>
    <w:rsid w:val="62BF3928"/>
    <w:rsid w:val="63B3701E"/>
    <w:rsid w:val="63CA5A99"/>
    <w:rsid w:val="647F5392"/>
    <w:rsid w:val="65E66580"/>
    <w:rsid w:val="664B1D71"/>
    <w:rsid w:val="664B4E8E"/>
    <w:rsid w:val="67277B67"/>
    <w:rsid w:val="674701AF"/>
    <w:rsid w:val="67AA3209"/>
    <w:rsid w:val="698D0931"/>
    <w:rsid w:val="6A7FE5F3"/>
    <w:rsid w:val="6B053271"/>
    <w:rsid w:val="6B8544CC"/>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9C7E69"/>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1.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39044;&#22635;&#25253;\&#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39044;&#22635;&#25253;\&#26032;&#24314;%20XLSX%20&#24037;&#20316;&#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915;&#31639;&#20844;&#24320;-&#39044;&#22635;&#25253;\&#26032;&#24314;%20XLSX%20&#24037;&#20316;&#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39044;&#22635;&#25253;\&#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167348175416836"/>
                  <c:y val="-0.085475459770841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工作表.xlsx]Sheet1'!$B$13:$B$14</c:f>
              <c:strCache>
                <c:ptCount val="2"/>
                <c:pt idx="0">
                  <c:v>一般公共预算财政拨款收入</c:v>
                </c:pt>
                <c:pt idx="1">
                  <c:v>政府性基金预算财政拨款收入</c:v>
                </c:pt>
              </c:strCache>
            </c:strRef>
          </c:cat>
          <c:val>
            <c:numRef>
              <c:f>'[新建 XLSX 工作表.xlsx]Sheet1'!$C$13:$C$14</c:f>
              <c:numCache>
                <c:formatCode>0.00%</c:formatCode>
                <c:ptCount val="2"/>
                <c:pt idx="0">
                  <c:v>0.9756</c:v>
                </c:pt>
                <c:pt idx="1">
                  <c:v>0.0244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0981046415812837"/>
          <c:y val="0.1442566183835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67120728-f394-4f88-bdee-b64aab664230}"/>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00801534431866787"/>
                  <c:y val="-0.017410530781849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5307676473158"/>
                  <c:y val="-0.01383946822313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工作表.xlsx]Sheet1'!$B$35:$B$36</c:f>
              <c:strCache>
                <c:ptCount val="2"/>
                <c:pt idx="0">
                  <c:v>基本支出</c:v>
                </c:pt>
                <c:pt idx="1">
                  <c:v>项目支出</c:v>
                </c:pt>
              </c:strCache>
            </c:strRef>
          </c:cat>
          <c:val>
            <c:numRef>
              <c:f>'[新建 XLSX 工作表.xlsx]Sheet1'!$C$35:$C$36</c:f>
              <c:numCache>
                <c:formatCode>0.00%</c:formatCode>
                <c:ptCount val="2"/>
                <c:pt idx="0">
                  <c:v>0.515</c:v>
                </c:pt>
                <c:pt idx="1">
                  <c:v>0.485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43c99df5-43d1-4d66-904a-80bede8424f4}"/>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3888.02</c:v>
                </c:pt>
                <c:pt idx="1">
                  <c:v>3888.02</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2858.64</c:v>
                </c:pt>
                <c:pt idx="1">
                  <c:v>2858.64</c:v>
                </c:pt>
              </c:numCache>
            </c:numRef>
          </c:val>
        </c:ser>
        <c:dLbls>
          <c:showLegendKey val="0"/>
          <c:showVal val="1"/>
          <c:showCatName val="0"/>
          <c:showSerName val="0"/>
          <c:showPercent val="0"/>
          <c:showBubbleSize val="0"/>
        </c:dLbls>
        <c:gapWidth val="246"/>
        <c:overlap val="-28"/>
        <c:axId val="490483230"/>
        <c:axId val="711097936"/>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49048323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1097936"/>
        <c:crosses val="autoZero"/>
        <c:auto val="1"/>
        <c:lblAlgn val="ctr"/>
        <c:lblOffset val="100"/>
        <c:noMultiLvlLbl val="0"/>
      </c:catAx>
      <c:valAx>
        <c:axId val="711097936"/>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9048323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826428b-1fe8-444a-ad10-1347a9dc012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manualLayout>
          <c:layoutTarget val="inner"/>
          <c:xMode val="edge"/>
          <c:yMode val="edge"/>
          <c:x val="0.134385034203546"/>
          <c:y val="0.190890481064483"/>
          <c:w val="0.823314253804272"/>
          <c:h val="0.632292732855681"/>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类别 1</c:v>
                </c:pt>
              </c:strCache>
            </c:strRef>
          </c:cat>
          <c:val>
            <c:numRef>
              <c:extLst>
                <c:ext xmlns:c15="http://schemas.microsoft.com/office/drawing/2012/chart" uri="{02D57815-91ED-43cb-92C2-25804820EDAC}">
                  <c15:fullRef>
                    <c15:sqref>Sheet1!$B$2:$B$5</c15:sqref>
                  </c15:fullRef>
                </c:ext>
              </c:extLst>
              <c:f>Sheet1!$B$2</c:f>
              <c:numCache>
                <c:formatCode>General</c:formatCode>
                <c:ptCount val="1"/>
                <c:pt idx="0">
                  <c:v>3076.6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类别 1</c:v>
                </c:pt>
              </c:strCache>
            </c:strRef>
          </c:cat>
          <c:val>
            <c:numRef>
              <c:extLst>
                <c:ext xmlns:c15="http://schemas.microsoft.com/office/drawing/2012/chart" uri="{02D57815-91ED-43cb-92C2-25804820EDAC}">
                  <c15:fullRef>
                    <c15:sqref>Sheet1!$C$2:$C$5</c15:sqref>
                  </c15:fullRef>
                </c:ext>
              </c:extLst>
              <c:f>Sheet1!$C$2</c:f>
              <c:numCache>
                <c:formatCode>General</c:formatCode>
                <c:ptCount val="1"/>
                <c:pt idx="0">
                  <c:v>1997.22</c:v>
                </c:pt>
              </c:numCache>
            </c:numRef>
          </c:val>
        </c:ser>
        <c:dLbls>
          <c:showLegendKey val="0"/>
          <c:showVal val="1"/>
          <c:showCatName val="0"/>
          <c:showSerName val="0"/>
          <c:showPercent val="0"/>
          <c:showBubbleSize val="0"/>
        </c:dLbls>
        <c:gapWidth val="246"/>
        <c:overlap val="-28"/>
        <c:axId val="480323008"/>
        <c:axId val="928811099"/>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c15:sqref>
                        </c15:formulaRef>
                      </c:ext>
                    </c:extLst>
                    <c:strCache>
                      <c:ptCount val="1"/>
                      <c:pt idx="0">
                        <c:v>类别 1</c:v>
                      </c:pt>
                    </c:strCache>
                  </c:strRef>
                </c:cat>
              </c15:ser>
            </c15:filteredBarSeries>
          </c:ext>
        </c:extLst>
      </c:barChart>
      <c:catAx>
        <c:axId val="48032300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8811099"/>
        <c:crosses val="autoZero"/>
        <c:auto val="1"/>
        <c:lblAlgn val="ctr"/>
        <c:lblOffset val="100"/>
        <c:noMultiLvlLbl val="0"/>
      </c:catAx>
      <c:valAx>
        <c:axId val="928811099"/>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金额：万元</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8032300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3077cd1-480b-4d3a-98e2-00a697b10ba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一般公共预算财政拨款支出决算结构图</a:t>
            </a:r>
          </a:p>
        </c:rich>
      </c:tx>
      <c:layout>
        <c:manualLayout>
          <c:xMode val="edge"/>
          <c:yMode val="edge"/>
          <c:x val="0.161217075386013"/>
          <c:y val="0.0287425149700599"/>
        </c:manualLayout>
      </c:layout>
      <c:overlay val="0"/>
      <c:spPr>
        <a:noFill/>
        <a:ln>
          <a:noFill/>
        </a:ln>
        <a:effectLst/>
      </c:spPr>
    </c:title>
    <c:autoTitleDeleted val="0"/>
    <c:plotArea>
      <c:layout/>
      <c:pieChart>
        <c:varyColors val="1"/>
        <c:ser>
          <c:idx val="0"/>
          <c:order val="0"/>
          <c:spPr/>
          <c:explosion val="0"/>
          <c:dPt>
            <c:idx val="0"/>
            <c:bubble3D val="0"/>
            <c:spPr>
              <a:solidFill>
                <a:srgbClr val="C0504D"/>
              </a:solidFill>
              <a:ln>
                <a:solidFill>
                  <a:srgbClr val="FFFFFF"/>
                </a:solidFill>
              </a:ln>
              <a:effectLst/>
            </c:spPr>
          </c:dPt>
          <c:dPt>
            <c:idx val="1"/>
            <c:bubble3D val="0"/>
            <c:spPr>
              <a:solidFill>
                <a:srgbClr val="9BBB59"/>
              </a:solidFill>
              <a:ln>
                <a:solidFill>
                  <a:srgbClr val="FFFFFF"/>
                </a:solidFill>
              </a:ln>
              <a:effectLst/>
            </c:spPr>
          </c:dPt>
          <c:dPt>
            <c:idx val="2"/>
            <c:bubble3D val="0"/>
            <c:spPr>
              <a:solidFill>
                <a:srgbClr val="4F81BD"/>
              </a:solidFill>
              <a:ln>
                <a:solidFill>
                  <a:srgbClr val="FFFFFF"/>
                </a:solidFill>
              </a:ln>
              <a:effectLst/>
            </c:spPr>
          </c:dPt>
          <c:dPt>
            <c:idx val="3"/>
            <c:bubble3D val="0"/>
            <c:spPr>
              <a:solidFill>
                <a:srgbClr val="8064A2"/>
              </a:solidFill>
              <a:ln>
                <a:solidFill>
                  <a:srgbClr val="FFFFFF"/>
                </a:solidFill>
              </a:ln>
              <a:effectLst/>
            </c:spPr>
          </c:dPt>
          <c:dPt>
            <c:idx val="4"/>
            <c:bubble3D val="0"/>
            <c:spPr>
              <a:solidFill>
                <a:srgbClr val="4BACC6"/>
              </a:solidFill>
              <a:ln>
                <a:solidFill>
                  <a:srgbClr val="FFFFFF"/>
                </a:solidFill>
              </a:ln>
              <a:effectLst/>
            </c:spPr>
          </c:dPt>
          <c:dLbls>
            <c:dLbl>
              <c:idx val="0"/>
              <c:layout>
                <c:manualLayout>
                  <c:x val="0.0267126553826207"/>
                  <c:y val="-0.041391553026439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06600238036734"/>
                  <c:y val="-0.01893144004719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70176820126018"/>
                  <c:y val="0.001660876984129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922404982631965"/>
                  <c:y val="-0.01832480959727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273752611787498"/>
                  <c:y val="-0.007732595319841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工作表.xlsx]Sheet1'!$B$71:$B$75</c:f>
              <c:strCache>
                <c:ptCount val="5"/>
                <c:pt idx="0">
                  <c:v>社会保障和就业支出</c:v>
                </c:pt>
                <c:pt idx="1">
                  <c:v>卫生健康支出</c:v>
                </c:pt>
                <c:pt idx="2">
                  <c:v>农林水支出</c:v>
                </c:pt>
                <c:pt idx="3">
                  <c:v>住房保障支出</c:v>
                </c:pt>
                <c:pt idx="4">
                  <c:v>一般公共服务支出</c:v>
                </c:pt>
              </c:strCache>
            </c:strRef>
          </c:cat>
          <c:val>
            <c:numRef>
              <c:f>'[新建 XLSX 工作表.xlsx]Sheet1'!$C$71:$C$75</c:f>
              <c:numCache>
                <c:formatCode>0.00%</c:formatCode>
                <c:ptCount val="5"/>
                <c:pt idx="0">
                  <c:v>0.132</c:v>
                </c:pt>
                <c:pt idx="1">
                  <c:v>0.023</c:v>
                </c:pt>
                <c:pt idx="2">
                  <c:v>0.8116</c:v>
                </c:pt>
                <c:pt idx="3">
                  <c:v>0.0323</c:v>
                </c:pt>
                <c:pt idx="4">
                  <c:v>0.0011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00363306085377"/>
          <c:y val="0.1268171349608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fc669a0-0848-41a1-b24b-cfa8f210811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lang="en-US" altLang="zh-CN"/>
              <a:t>“</a:t>
            </a:r>
            <a:r>
              <a:rPr altLang="en-US"/>
              <a:t>三公</a:t>
            </a:r>
            <a:r>
              <a:rPr lang="en-US" altLang="zh-CN"/>
              <a:t>”</a:t>
            </a:r>
            <a:r>
              <a:rPr altLang="en-US"/>
              <a:t>经费财政拨款支出结构图</a:t>
            </a:r>
            <a:endParaRPr altLang="en-US"/>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dLbl>
              <c:idx val="0"/>
              <c:layout>
                <c:manualLayout>
                  <c:x val="0.0969240425218724"/>
                  <c:y val="-0.096505864974774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96872136461982"/>
                  <c:y val="0.0270614277820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'[新建 XLSX 工作表.xlsx]Sheet1'!$B$91:$B$92</c:f>
              <c:strCache>
                <c:ptCount val="2"/>
                <c:pt idx="0">
                  <c:v>公务用车购置及运行维护费</c:v>
                </c:pt>
                <c:pt idx="1">
                  <c:v>公务接待费支出决算</c:v>
                </c:pt>
              </c:strCache>
            </c:strRef>
          </c:cat>
          <c:val>
            <c:numRef>
              <c:f>'[新建 XLSX 工作表.xlsx]Sheet1'!$C$91:$C$92</c:f>
              <c:numCache>
                <c:formatCode>0.00%</c:formatCode>
                <c:ptCount val="2"/>
                <c:pt idx="0">
                  <c:v>0.8183</c:v>
                </c:pt>
                <c:pt idx="1">
                  <c:v>0.1817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0ed79ba7-3a16-4e85-a0ea-095d55d97057}"/>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1424</Words>
  <Characters>1448</Characters>
  <Lines>61</Lines>
  <Paragraphs>17</Paragraphs>
  <TotalTime>11</TotalTime>
  <ScaleCrop>false</ScaleCrop>
  <LinksUpToDate>false</LinksUpToDate>
  <CharactersWithSpaces>1472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苗琪玥</cp:lastModifiedBy>
  <cp:lastPrinted>2025-08-06T17:34:00Z</cp:lastPrinted>
  <dcterms:modified xsi:type="dcterms:W3CDTF">2025-09-16T08:41:29Z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eyJoZGlkIjoiNDMyZGVhNTA1MWY2NzJlZDY4MTIyODQ3ZDNiOTljN2YiLCJ1c2VySWQiOiIzNjYxNjkxODQifQ==</vt:lpwstr>
  </property>
</Properties>
</file>