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B2436">
      <w:bookmarkStart w:id="0" w:name="_Toc15396475"/>
      <w:bookmarkStart w:id="1" w:name="_Toc15377425"/>
      <w:bookmarkStart w:id="2" w:name="_Toc15377193"/>
      <w:bookmarkStart w:id="3" w:name="_Toc15396597"/>
      <w:bookmarkStart w:id="4" w:name="_Toc15378441"/>
      <w:bookmarkStart w:id="5" w:name="_Toc15306267"/>
    </w:p>
    <w:p w14:paraId="4C97661D">
      <w:pPr>
        <w:pStyle w:val="2"/>
        <w:spacing w:before="93"/>
        <w:jc w:val="center"/>
        <w:rPr>
          <w:rFonts w:ascii="Times New Roman" w:eastAsia="方正小标宋简体"/>
          <w:kern w:val="2"/>
          <w:sz w:val="44"/>
          <w:szCs w:val="44"/>
        </w:rPr>
      </w:pPr>
    </w:p>
    <w:p w14:paraId="087207C4">
      <w:pPr>
        <w:pStyle w:val="2"/>
        <w:spacing w:before="93"/>
        <w:jc w:val="center"/>
        <w:rPr>
          <w:rFonts w:ascii="Times New Roman" w:eastAsia="方正小标宋简体"/>
          <w:kern w:val="2"/>
          <w:sz w:val="44"/>
          <w:szCs w:val="44"/>
        </w:rPr>
      </w:pPr>
    </w:p>
    <w:p w14:paraId="1579F678">
      <w:pPr>
        <w:pStyle w:val="2"/>
        <w:spacing w:before="93"/>
        <w:jc w:val="center"/>
        <w:rPr>
          <w:rFonts w:ascii="Times New Roman" w:eastAsia="方正小标宋简体"/>
          <w:kern w:val="2"/>
          <w:sz w:val="44"/>
          <w:szCs w:val="44"/>
        </w:rPr>
      </w:pPr>
    </w:p>
    <w:p w14:paraId="18D116D5">
      <w:pPr>
        <w:pStyle w:val="2"/>
        <w:spacing w:before="93"/>
        <w:jc w:val="center"/>
        <w:rPr>
          <w:rFonts w:ascii="Times New Roman" w:eastAsia="方正小标宋简体"/>
          <w:kern w:val="2"/>
          <w:sz w:val="44"/>
          <w:szCs w:val="44"/>
        </w:rPr>
      </w:pPr>
    </w:p>
    <w:bookmarkEnd w:id="0"/>
    <w:bookmarkEnd w:id="1"/>
    <w:bookmarkEnd w:id="2"/>
    <w:bookmarkEnd w:id="3"/>
    <w:bookmarkEnd w:id="4"/>
    <w:p w14:paraId="01DB4F6E">
      <w:pPr>
        <w:pStyle w:val="2"/>
        <w:spacing w:before="93"/>
        <w:jc w:val="center"/>
        <w:rPr>
          <w:rFonts w:hint="eastAsia" w:ascii="Times New Roman" w:eastAsia="方正小标宋简体"/>
          <w:kern w:val="2"/>
          <w:sz w:val="44"/>
          <w:szCs w:val="44"/>
        </w:rPr>
      </w:pPr>
      <w:bookmarkStart w:id="6" w:name="_Toc15378442"/>
      <w:bookmarkStart w:id="7" w:name="_Toc15377426"/>
      <w:bookmarkStart w:id="8" w:name="_Toc15396476"/>
      <w:bookmarkStart w:id="9" w:name="_Toc15396598"/>
      <w:bookmarkStart w:id="10" w:name="_Toc15377194"/>
      <w:r>
        <w:rPr>
          <w:rFonts w:hint="eastAsia" w:ascii="Times New Roman" w:eastAsia="方正小标宋简体"/>
          <w:kern w:val="2"/>
          <w:sz w:val="44"/>
          <w:szCs w:val="44"/>
        </w:rPr>
        <w:t>2024年度</w:t>
      </w:r>
      <w:bookmarkEnd w:id="5"/>
      <w:bookmarkStart w:id="11" w:name="_Toc15306268"/>
    </w:p>
    <w:p w14:paraId="18C73E16">
      <w:pPr>
        <w:pStyle w:val="2"/>
        <w:spacing w:before="93"/>
        <w:jc w:val="center"/>
        <w:rPr>
          <w:rFonts w:hint="eastAsia" w:ascii="Times New Roman" w:eastAsia="方正小标宋简体"/>
          <w:kern w:val="2"/>
          <w:sz w:val="44"/>
          <w:szCs w:val="44"/>
        </w:rPr>
      </w:pPr>
      <w:r>
        <w:rPr>
          <w:rFonts w:hint="eastAsia" w:ascii="Times New Roman" w:eastAsia="方正小标宋简体"/>
          <w:kern w:val="2"/>
          <w:sz w:val="44"/>
          <w:szCs w:val="44"/>
        </w:rPr>
        <w:t>攀枝花市二滩国家森林公园保护中心（攀枝花市二滩风景名胜区保护中心）决算</w:t>
      </w:r>
      <w:bookmarkEnd w:id="6"/>
      <w:bookmarkEnd w:id="7"/>
      <w:bookmarkEnd w:id="8"/>
      <w:bookmarkEnd w:id="9"/>
      <w:bookmarkEnd w:id="10"/>
      <w:bookmarkEnd w:id="11"/>
    </w:p>
    <w:p w14:paraId="7305B551">
      <w:pPr>
        <w:pStyle w:val="2"/>
        <w:spacing w:before="93"/>
        <w:jc w:val="center"/>
        <w:rPr>
          <w:rFonts w:hint="eastAsia" w:ascii="Times New Roman" w:eastAsia="方正小标宋简体"/>
          <w:kern w:val="2"/>
          <w:sz w:val="44"/>
          <w:szCs w:val="44"/>
          <w:lang w:val="en-US" w:eastAsia="zh-CN"/>
        </w:rPr>
      </w:pPr>
      <w:r>
        <w:rPr>
          <w:rFonts w:hint="eastAsia" w:ascii="Times New Roman" w:eastAsia="方正小标宋简体"/>
          <w:kern w:val="2"/>
          <w:sz w:val="44"/>
          <w:szCs w:val="44"/>
          <w:lang w:val="en-US" w:eastAsia="zh-CN"/>
        </w:rPr>
        <w:t>公开说明</w:t>
      </w:r>
    </w:p>
    <w:p w14:paraId="55ED48ED">
      <w:pPr>
        <w:widowControl/>
        <w:jc w:val="center"/>
        <w:rPr>
          <w:rFonts w:hint="eastAsia"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14:paraId="42CD8A42">
      <w:pPr>
        <w:widowControl/>
        <w:jc w:val="center"/>
        <w:rPr>
          <w:rFonts w:eastAsia="黑体"/>
          <w:sz w:val="48"/>
          <w:szCs w:val="48"/>
        </w:rPr>
      </w:pPr>
      <w:r>
        <w:rPr>
          <w:rFonts w:hint="eastAsia" w:eastAsia="黑体"/>
          <w:sz w:val="48"/>
          <w:szCs w:val="48"/>
        </w:rPr>
        <w:t>目录</w:t>
      </w:r>
    </w:p>
    <w:p w14:paraId="672FA42B">
      <w:pPr>
        <w:widowControl/>
        <w:jc w:val="center"/>
        <w:rPr>
          <w:rFonts w:eastAsia="黑体" w:cstheme="minorBidi"/>
          <w:sz w:val="28"/>
          <w:szCs w:val="28"/>
        </w:rPr>
      </w:pPr>
    </w:p>
    <w:p w14:paraId="589A2003">
      <w:pPr>
        <w:pStyle w:val="12"/>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16</w:t>
      </w:r>
      <w:r>
        <w:rPr>
          <w:rFonts w:hint="eastAsia" w:ascii="Times New Roman" w:hAnsi="Times New Roman" w:eastAsia="仿宋_GB2312" w:cs="仿宋_GB2312"/>
          <w:sz w:val="32"/>
          <w:szCs w:val="32"/>
        </w:rPr>
        <w:t>日</w:t>
      </w:r>
    </w:p>
    <w:p w14:paraId="1484F676"/>
    <w:p w14:paraId="1FA6231E">
      <w:pPr>
        <w:pStyle w:val="12"/>
        <w:adjustRightInd w:val="0"/>
        <w:snapToGrid w:val="0"/>
        <w:spacing w:before="0" w:line="56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第一部分 部门概况</w:t>
      </w:r>
      <w:r>
        <w:rPr>
          <w:rFonts w:ascii="Times New Roman" w:hAnsi="Times New Roman"/>
          <w:sz w:val="24"/>
          <w:szCs w:val="24"/>
        </w:rPr>
        <w:tab/>
      </w:r>
      <w:r>
        <w:rPr>
          <w:rFonts w:hint="eastAsia" w:ascii="Times New Roman" w:hAnsi="Times New Roman"/>
          <w:sz w:val="24"/>
          <w:szCs w:val="24"/>
          <w:lang w:val="en-US" w:eastAsia="zh-CN"/>
        </w:rPr>
        <w:t>3</w:t>
      </w:r>
    </w:p>
    <w:p w14:paraId="33FEA8D4">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一、部门职责</w:t>
      </w:r>
      <w:r>
        <w:rPr>
          <w:rFonts w:ascii="Times New Roman" w:hAnsi="Times New Roman"/>
          <w:sz w:val="24"/>
          <w:szCs w:val="24"/>
        </w:rPr>
        <w:tab/>
      </w:r>
      <w:r>
        <w:rPr>
          <w:rFonts w:hint="eastAsia"/>
          <w:sz w:val="24"/>
          <w:szCs w:val="24"/>
          <w:lang w:val="en-US" w:eastAsia="zh-CN"/>
        </w:rPr>
        <w:t>3</w:t>
      </w:r>
    </w:p>
    <w:p w14:paraId="757F2128">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二、机构设置</w:t>
      </w:r>
      <w:r>
        <w:rPr>
          <w:rFonts w:ascii="Times New Roman" w:hAnsi="Times New Roman"/>
          <w:sz w:val="24"/>
          <w:szCs w:val="24"/>
        </w:rPr>
        <w:tab/>
      </w:r>
      <w:r>
        <w:rPr>
          <w:rFonts w:hint="eastAsia"/>
          <w:sz w:val="24"/>
          <w:szCs w:val="24"/>
          <w:lang w:val="en-US" w:eastAsia="zh-CN"/>
        </w:rPr>
        <w:t>4</w:t>
      </w:r>
    </w:p>
    <w:p w14:paraId="1D77450F">
      <w:pPr>
        <w:pStyle w:val="12"/>
        <w:adjustRightInd w:val="0"/>
        <w:snapToGrid w:val="0"/>
        <w:spacing w:before="0" w:line="56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第二部分 2024年度部门决算情况说明</w:t>
      </w:r>
      <w:r>
        <w:rPr>
          <w:rFonts w:ascii="Times New Roman" w:hAnsi="Times New Roman"/>
          <w:sz w:val="24"/>
          <w:szCs w:val="24"/>
        </w:rPr>
        <w:tab/>
      </w:r>
      <w:r>
        <w:rPr>
          <w:rFonts w:hint="eastAsia" w:ascii="Times New Roman" w:hAnsi="Times New Roman"/>
          <w:sz w:val="24"/>
          <w:szCs w:val="24"/>
          <w:lang w:val="en-US" w:eastAsia="zh-CN"/>
        </w:rPr>
        <w:t>5</w:t>
      </w:r>
    </w:p>
    <w:p w14:paraId="4A3C2168">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一、收入支出决算总体情况说明</w:t>
      </w:r>
      <w:r>
        <w:rPr>
          <w:rFonts w:ascii="Times New Roman" w:hAnsi="Times New Roman"/>
          <w:sz w:val="24"/>
          <w:szCs w:val="24"/>
        </w:rPr>
        <w:tab/>
      </w:r>
      <w:r>
        <w:rPr>
          <w:rFonts w:hint="eastAsia"/>
          <w:sz w:val="24"/>
          <w:szCs w:val="24"/>
          <w:lang w:val="en-US" w:eastAsia="zh-CN"/>
        </w:rPr>
        <w:t>5</w:t>
      </w:r>
    </w:p>
    <w:p w14:paraId="35BDBC1B">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二、收入决算情况说明</w:t>
      </w:r>
      <w:r>
        <w:rPr>
          <w:rFonts w:ascii="Times New Roman" w:hAnsi="Times New Roman"/>
          <w:sz w:val="24"/>
          <w:szCs w:val="24"/>
        </w:rPr>
        <w:tab/>
      </w:r>
      <w:r>
        <w:rPr>
          <w:rFonts w:hint="eastAsia"/>
          <w:sz w:val="24"/>
          <w:szCs w:val="24"/>
          <w:lang w:val="en-US" w:eastAsia="zh-CN"/>
        </w:rPr>
        <w:t>5</w:t>
      </w:r>
    </w:p>
    <w:p w14:paraId="41244ED6">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三、支出决算情况说明</w:t>
      </w:r>
      <w:r>
        <w:rPr>
          <w:rFonts w:ascii="Times New Roman" w:hAnsi="Times New Roman"/>
          <w:sz w:val="24"/>
          <w:szCs w:val="24"/>
        </w:rPr>
        <w:tab/>
      </w:r>
      <w:r>
        <w:rPr>
          <w:rFonts w:hint="eastAsia"/>
          <w:sz w:val="24"/>
          <w:szCs w:val="24"/>
          <w:lang w:val="en-US" w:eastAsia="zh-CN"/>
        </w:rPr>
        <w:t>6</w:t>
      </w:r>
    </w:p>
    <w:p w14:paraId="7B1B6663">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四、财政拨款收入支出决算总体情况说明</w:t>
      </w:r>
      <w:r>
        <w:rPr>
          <w:rFonts w:ascii="Times New Roman" w:hAnsi="Times New Roman"/>
          <w:sz w:val="24"/>
          <w:szCs w:val="24"/>
        </w:rPr>
        <w:tab/>
      </w:r>
      <w:r>
        <w:rPr>
          <w:rFonts w:hint="eastAsia"/>
          <w:sz w:val="24"/>
          <w:szCs w:val="24"/>
          <w:lang w:val="en-US" w:eastAsia="zh-CN"/>
        </w:rPr>
        <w:t>7</w:t>
      </w:r>
    </w:p>
    <w:p w14:paraId="50C0D190">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五、一般公共预算财政拨款支出决算情况说明</w:t>
      </w:r>
      <w:r>
        <w:rPr>
          <w:rFonts w:ascii="Times New Roman" w:hAnsi="Times New Roman"/>
          <w:sz w:val="24"/>
          <w:szCs w:val="24"/>
        </w:rPr>
        <w:tab/>
      </w:r>
      <w:r>
        <w:rPr>
          <w:rFonts w:hint="eastAsia"/>
          <w:sz w:val="24"/>
          <w:szCs w:val="24"/>
          <w:lang w:val="en-US" w:eastAsia="zh-CN"/>
        </w:rPr>
        <w:t>7</w:t>
      </w:r>
    </w:p>
    <w:p w14:paraId="06BAD76C">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六、一般公共预算财政拨款基本支出决算情况说明</w:t>
      </w:r>
      <w:r>
        <w:rPr>
          <w:rFonts w:ascii="Times New Roman" w:hAnsi="Times New Roman"/>
          <w:sz w:val="24"/>
          <w:szCs w:val="24"/>
        </w:rPr>
        <w:tab/>
      </w:r>
      <w:r>
        <w:rPr>
          <w:rFonts w:hint="eastAsia"/>
          <w:sz w:val="24"/>
          <w:szCs w:val="24"/>
          <w:lang w:val="en-US" w:eastAsia="zh-CN"/>
        </w:rPr>
        <w:t>9</w:t>
      </w:r>
    </w:p>
    <w:p w14:paraId="5158E95A">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七、财政拨款“三公”经费支出决算情况说明</w:t>
      </w:r>
      <w:r>
        <w:rPr>
          <w:rFonts w:ascii="Times New Roman" w:hAnsi="Times New Roman"/>
          <w:sz w:val="24"/>
          <w:szCs w:val="24"/>
        </w:rPr>
        <w:tab/>
      </w:r>
      <w:r>
        <w:rPr>
          <w:rFonts w:hint="eastAsia"/>
          <w:sz w:val="24"/>
          <w:szCs w:val="24"/>
          <w:lang w:val="en-US" w:eastAsia="zh-CN"/>
        </w:rPr>
        <w:t>10</w:t>
      </w:r>
    </w:p>
    <w:p w14:paraId="1255268D">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八、政府性基金预算支出决算情况说明</w:t>
      </w:r>
      <w:r>
        <w:rPr>
          <w:rFonts w:ascii="Times New Roman" w:hAnsi="Times New Roman"/>
          <w:sz w:val="24"/>
          <w:szCs w:val="24"/>
        </w:rPr>
        <w:tab/>
      </w:r>
      <w:r>
        <w:rPr>
          <w:rFonts w:hint="eastAsia"/>
          <w:sz w:val="24"/>
          <w:szCs w:val="24"/>
          <w:lang w:val="en-US" w:eastAsia="zh-CN"/>
        </w:rPr>
        <w:t>12</w:t>
      </w:r>
    </w:p>
    <w:p w14:paraId="4C61A5C8">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九、国有资本经营预算支出决算情况说明</w:t>
      </w:r>
      <w:r>
        <w:rPr>
          <w:rFonts w:ascii="Times New Roman" w:hAnsi="Times New Roman"/>
          <w:sz w:val="24"/>
          <w:szCs w:val="24"/>
        </w:rPr>
        <w:tab/>
      </w:r>
      <w:r>
        <w:rPr>
          <w:rFonts w:hint="eastAsia"/>
          <w:sz w:val="24"/>
          <w:szCs w:val="24"/>
          <w:lang w:val="en-US" w:eastAsia="zh-CN"/>
        </w:rPr>
        <w:t>12</w:t>
      </w:r>
    </w:p>
    <w:p w14:paraId="3484EC6C">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十、其他重要事项的情况说明</w:t>
      </w:r>
      <w:r>
        <w:rPr>
          <w:rFonts w:ascii="Times New Roman" w:hAnsi="Times New Roman"/>
          <w:sz w:val="24"/>
          <w:szCs w:val="24"/>
        </w:rPr>
        <w:tab/>
      </w:r>
      <w:r>
        <w:rPr>
          <w:rFonts w:hint="eastAsia"/>
          <w:sz w:val="24"/>
          <w:szCs w:val="24"/>
          <w:lang w:val="en-US" w:eastAsia="zh-CN"/>
        </w:rPr>
        <w:t>12</w:t>
      </w:r>
    </w:p>
    <w:p w14:paraId="59479180">
      <w:pPr>
        <w:pStyle w:val="12"/>
        <w:adjustRightInd w:val="0"/>
        <w:snapToGrid w:val="0"/>
        <w:spacing w:before="0" w:line="560" w:lineRule="exact"/>
        <w:jc w:val="left"/>
        <w:rPr>
          <w:rFonts w:hint="default"/>
          <w:lang w:val="en-US" w:eastAsia="zh-CN"/>
        </w:rPr>
      </w:pPr>
      <w:r>
        <w:rPr>
          <w:rFonts w:hint="eastAsia" w:ascii="Times New Roman" w:hAnsi="Times New Roman" w:eastAsia="黑体" w:cs="黑体"/>
          <w:sz w:val="32"/>
          <w:szCs w:val="32"/>
        </w:rPr>
        <w:t>第三部分 名词解释</w:t>
      </w:r>
      <w:r>
        <w:rPr>
          <w:rFonts w:ascii="Times New Roman" w:hAnsi="Times New Roman"/>
          <w:sz w:val="24"/>
          <w:szCs w:val="24"/>
        </w:rPr>
        <w:tab/>
      </w:r>
      <w:r>
        <w:rPr>
          <w:rFonts w:hint="eastAsia" w:ascii="Times New Roman" w:hAnsi="Times New Roman"/>
          <w:sz w:val="24"/>
          <w:szCs w:val="24"/>
          <w:lang w:val="en-US" w:eastAsia="zh-CN"/>
        </w:rPr>
        <w:t>14</w:t>
      </w:r>
    </w:p>
    <w:p w14:paraId="5BE98A28">
      <w:pPr>
        <w:pStyle w:val="12"/>
        <w:adjustRightInd w:val="0"/>
        <w:snapToGrid w:val="0"/>
        <w:spacing w:before="0" w:line="560" w:lineRule="exact"/>
        <w:jc w:val="left"/>
        <w:rPr>
          <w:rFonts w:hint="default" w:ascii="Times New Roman" w:hAnsi="Times New Roman" w:eastAsia="仿宋" w:cs="黑体"/>
          <w:sz w:val="32"/>
          <w:szCs w:val="32"/>
          <w:lang w:val="en-US" w:eastAsia="zh-CN"/>
        </w:rPr>
      </w:pPr>
      <w:r>
        <w:rPr>
          <w:rFonts w:hint="eastAsia" w:ascii="Times New Roman" w:hAnsi="Times New Roman" w:eastAsia="黑体" w:cs="黑体"/>
          <w:sz w:val="32"/>
          <w:szCs w:val="32"/>
        </w:rPr>
        <w:t>第四部分 附件</w:t>
      </w:r>
      <w:r>
        <w:rPr>
          <w:rFonts w:ascii="Times New Roman" w:hAnsi="Times New Roman"/>
          <w:sz w:val="24"/>
          <w:szCs w:val="24"/>
        </w:rPr>
        <w:tab/>
      </w:r>
      <w:r>
        <w:rPr>
          <w:rFonts w:hint="eastAsia" w:ascii="Times New Roman" w:hAnsi="Times New Roman"/>
          <w:sz w:val="24"/>
          <w:szCs w:val="24"/>
          <w:lang w:val="en-US" w:eastAsia="zh-CN"/>
        </w:rPr>
        <w:t>17</w:t>
      </w:r>
    </w:p>
    <w:p w14:paraId="646C8DC2">
      <w:pPr>
        <w:pStyle w:val="12"/>
        <w:adjustRightInd w:val="0"/>
        <w:snapToGrid w:val="0"/>
        <w:spacing w:before="0" w:line="560" w:lineRule="exact"/>
        <w:jc w:val="left"/>
        <w:rPr>
          <w:rFonts w:hint="default" w:ascii="Times New Roman" w:hAnsi="Times New Roman" w:eastAsia="仿宋" w:cs="黑体"/>
          <w:sz w:val="32"/>
          <w:szCs w:val="32"/>
          <w:lang w:val="en-US" w:eastAsia="zh-CN"/>
        </w:rPr>
      </w:pPr>
      <w:r>
        <w:rPr>
          <w:rFonts w:hint="eastAsia" w:ascii="Times New Roman" w:hAnsi="Times New Roman" w:eastAsia="黑体" w:cs="黑体"/>
          <w:sz w:val="32"/>
          <w:szCs w:val="32"/>
        </w:rPr>
        <w:t>第五部分 附表</w:t>
      </w:r>
      <w:r>
        <w:rPr>
          <w:rFonts w:ascii="Times New Roman" w:hAnsi="Times New Roman"/>
          <w:sz w:val="24"/>
          <w:szCs w:val="24"/>
        </w:rPr>
        <w:tab/>
      </w:r>
      <w:r>
        <w:rPr>
          <w:rFonts w:hint="eastAsia" w:ascii="Times New Roman" w:hAnsi="Times New Roman"/>
          <w:sz w:val="24"/>
          <w:szCs w:val="24"/>
          <w:lang w:val="en-US" w:eastAsia="zh-CN"/>
        </w:rPr>
        <w:t>18</w:t>
      </w:r>
    </w:p>
    <w:p w14:paraId="0B82FF85">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一、收入支出决算总表</w:t>
      </w:r>
    </w:p>
    <w:p w14:paraId="6C991D14">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p>
    <w:p w14:paraId="16590E8D">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p>
    <w:p w14:paraId="3BAD0E86">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p>
    <w:p w14:paraId="4A8FEEC4">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p>
    <w:p w14:paraId="4F0C5158">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p>
    <w:p w14:paraId="37C8BA5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p>
    <w:p w14:paraId="4E979F31">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p>
    <w:p w14:paraId="0B0AB7D0">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p>
    <w:p w14:paraId="61C0F9D2">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p>
    <w:p w14:paraId="7834B3A6">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p>
    <w:p w14:paraId="238B8F82">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p>
    <w:p w14:paraId="25340927">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p>
    <w:p w14:paraId="40818B00">
      <w:pPr>
        <w:pStyle w:val="3"/>
        <w:jc w:val="center"/>
        <w:rPr>
          <w:rFonts w:hint="eastAsia" w:eastAsia="方正小标宋简体" w:cs="方正小标宋简体"/>
          <w:b w:val="0"/>
        </w:rPr>
        <w:sectPr>
          <w:headerReference r:id="rId6" w:type="default"/>
          <w:footerReference r:id="rId7" w:type="default"/>
          <w:pgSz w:w="11906" w:h="16838"/>
          <w:pgMar w:top="1440" w:right="1800" w:bottom="1440" w:left="1800" w:header="851" w:footer="992" w:gutter="0"/>
          <w:pgNumType w:fmt="numberInDash" w:start="1"/>
          <w:cols w:space="425" w:num="1"/>
          <w:docGrid w:type="lines" w:linePitch="312" w:charSpace="0"/>
        </w:sectPr>
      </w:pPr>
      <w:bookmarkStart w:id="12" w:name="_Toc15396599"/>
      <w:bookmarkStart w:id="13" w:name="_Toc15377196"/>
    </w:p>
    <w:p w14:paraId="71E54528">
      <w:pPr>
        <w:pStyle w:val="3"/>
        <w:jc w:val="center"/>
        <w:rPr>
          <w:rStyle w:val="28"/>
          <w:rFonts w:eastAsia="方正小标宋简体" w:cs="方正小标宋简体"/>
          <w:b/>
          <w:bCs w:val="0"/>
        </w:rPr>
      </w:pPr>
      <w:r>
        <w:rPr>
          <w:rFonts w:hint="eastAsia" w:eastAsia="方正小标宋简体" w:cs="方正小标宋简体"/>
          <w:b w:val="0"/>
        </w:rPr>
        <w:t xml:space="preserve">第一部分  </w:t>
      </w:r>
      <w:r>
        <w:rPr>
          <w:rStyle w:val="28"/>
          <w:rFonts w:hint="eastAsia" w:eastAsia="方正小标宋简体" w:cs="方正小标宋简体"/>
          <w:b w:val="0"/>
          <w:bCs w:val="0"/>
        </w:rPr>
        <w:t>部门概况</w:t>
      </w:r>
      <w:bookmarkEnd w:id="12"/>
      <w:bookmarkEnd w:id="13"/>
    </w:p>
    <w:p w14:paraId="09513735">
      <w:pPr>
        <w:widowControl/>
        <w:jc w:val="left"/>
        <w:rPr>
          <w:rFonts w:eastAsia="黑体"/>
          <w:sz w:val="32"/>
          <w:szCs w:val="32"/>
        </w:rPr>
      </w:pPr>
    </w:p>
    <w:p w14:paraId="12051EB5">
      <w:pPr>
        <w:pStyle w:val="4"/>
        <w:numPr>
          <w:ilvl w:val="0"/>
          <w:numId w:val="1"/>
        </w:numPr>
        <w:rPr>
          <w:rFonts w:hint="eastAsia" w:ascii="Times New Roman" w:hAnsi="Times New Roman" w:eastAsia="黑体"/>
          <w:b w:val="0"/>
        </w:rPr>
      </w:pPr>
      <w:r>
        <w:rPr>
          <w:rFonts w:hint="eastAsia" w:ascii="Times New Roman" w:hAnsi="Times New Roman" w:eastAsia="黑体"/>
          <w:b w:val="0"/>
        </w:rPr>
        <w:t>部门职责</w:t>
      </w:r>
    </w:p>
    <w:p w14:paraId="394CE7A4">
      <w:pPr>
        <w:ind w:firstLine="640" w:firstLineChars="200"/>
        <w:rPr>
          <w:rFonts w:ascii="Times New Roman" w:hAnsi="Times New Roman" w:eastAsia="仿宋_GB2312"/>
          <w:color w:val="000000"/>
          <w:sz w:val="32"/>
          <w:szCs w:val="32"/>
        </w:rPr>
      </w:pPr>
      <w:r>
        <w:rPr>
          <w:rFonts w:eastAsia="仿宋_GB2312"/>
          <w:color w:val="000000"/>
          <w:sz w:val="32"/>
          <w:szCs w:val="32"/>
        </w:rPr>
        <w:t>攀枝花市二滩国家森林公园保护中心的</w:t>
      </w:r>
      <w:r>
        <w:rPr>
          <w:rFonts w:ascii="Times New Roman" w:eastAsia="仿宋_GB2312"/>
          <w:color w:val="000000"/>
          <w:sz w:val="32"/>
          <w:szCs w:val="32"/>
        </w:rPr>
        <w:t>主要职责为：</w:t>
      </w:r>
      <w:r>
        <w:rPr>
          <w:rFonts w:ascii="Times New Roman" w:hAnsi="Times New Roman" w:eastAsia="仿宋_GB2312"/>
          <w:color w:val="000000"/>
          <w:sz w:val="32"/>
          <w:szCs w:val="32"/>
        </w:rPr>
        <w:t>1.</w:t>
      </w:r>
      <w:r>
        <w:rPr>
          <w:rFonts w:ascii="Times New Roman" w:eastAsia="仿宋_GB2312"/>
          <w:color w:val="000000"/>
          <w:sz w:val="32"/>
          <w:szCs w:val="32"/>
        </w:rPr>
        <w:t>负责二滩现有森林资源的保护、开发、利用；</w:t>
      </w:r>
      <w:r>
        <w:rPr>
          <w:rFonts w:ascii="Times New Roman" w:hAnsi="Times New Roman" w:eastAsia="仿宋_GB2312"/>
          <w:color w:val="000000"/>
          <w:sz w:val="32"/>
          <w:szCs w:val="32"/>
        </w:rPr>
        <w:t>2.</w:t>
      </w:r>
      <w:r>
        <w:rPr>
          <w:rFonts w:ascii="Times New Roman" w:eastAsia="仿宋_GB2312"/>
          <w:color w:val="000000"/>
          <w:sz w:val="32"/>
          <w:szCs w:val="32"/>
        </w:rPr>
        <w:t>负责公园内旅游项目的规划、开发、建设及管理。</w:t>
      </w:r>
    </w:p>
    <w:p w14:paraId="43483506">
      <w:pPr>
        <w:numPr>
          <w:ilvl w:val="0"/>
          <w:numId w:val="0"/>
        </w:numPr>
        <w:ind w:firstLine="640" w:firstLineChars="200"/>
      </w:pPr>
      <w:r>
        <w:rPr>
          <w:rFonts w:ascii="Times New Roman" w:eastAsia="仿宋"/>
          <w:sz w:val="32"/>
          <w:szCs w:val="32"/>
        </w:rPr>
        <w:t>攀枝花市二滩风景名胜区保护中心的主要职责是：</w:t>
      </w:r>
      <w:r>
        <w:rPr>
          <w:rFonts w:ascii="Times New Roman" w:hAnsi="Times New Roman" w:eastAsia="仿宋"/>
          <w:sz w:val="32"/>
          <w:szCs w:val="32"/>
        </w:rPr>
        <w:t>1.</w:t>
      </w:r>
      <w:r>
        <w:rPr>
          <w:rFonts w:ascii="Times New Roman" w:eastAsia="仿宋"/>
          <w:sz w:val="32"/>
          <w:szCs w:val="32"/>
        </w:rPr>
        <w:t>规划管理：参与编制景区建设总体规划和景区详细建设规划。初审开发建设项目规划，审查建设项目可行性报告，出具选址定点意见，审查建设项目设计方案；</w:t>
      </w:r>
      <w:r>
        <w:rPr>
          <w:rFonts w:ascii="Times New Roman" w:hAnsi="Times New Roman" w:eastAsia="仿宋"/>
          <w:sz w:val="32"/>
          <w:szCs w:val="32"/>
        </w:rPr>
        <w:t>2.</w:t>
      </w:r>
      <w:r>
        <w:rPr>
          <w:rFonts w:ascii="Times New Roman" w:eastAsia="仿宋"/>
          <w:sz w:val="32"/>
          <w:szCs w:val="32"/>
        </w:rPr>
        <w:t>土地资源管理：核定建设项目用地位置和界限；</w:t>
      </w:r>
      <w:r>
        <w:rPr>
          <w:rFonts w:ascii="Times New Roman" w:hAnsi="Times New Roman" w:eastAsia="仿宋"/>
          <w:sz w:val="32"/>
          <w:szCs w:val="32"/>
        </w:rPr>
        <w:t>3.</w:t>
      </w:r>
      <w:r>
        <w:rPr>
          <w:rFonts w:ascii="Times New Roman" w:eastAsia="仿宋"/>
          <w:sz w:val="32"/>
          <w:szCs w:val="32"/>
        </w:rPr>
        <w:t>林地资源管理：审查占用、征用或转让景区范围内的林地；</w:t>
      </w:r>
      <w:r>
        <w:rPr>
          <w:rFonts w:ascii="Times New Roman" w:hAnsi="Times New Roman" w:eastAsia="仿宋"/>
          <w:sz w:val="32"/>
          <w:szCs w:val="32"/>
        </w:rPr>
        <w:t>4.</w:t>
      </w:r>
      <w:r>
        <w:rPr>
          <w:rFonts w:ascii="Times New Roman" w:eastAsia="仿宋"/>
          <w:sz w:val="32"/>
          <w:szCs w:val="32"/>
        </w:rPr>
        <w:t>监督管理：负责保护景区内的森林、水源和自然、人文景观不受破坏和污染；</w:t>
      </w:r>
      <w:r>
        <w:rPr>
          <w:rFonts w:ascii="Times New Roman" w:hAnsi="Times New Roman" w:eastAsia="仿宋"/>
          <w:sz w:val="32"/>
          <w:szCs w:val="32"/>
        </w:rPr>
        <w:t>5.</w:t>
      </w:r>
      <w:r>
        <w:rPr>
          <w:rFonts w:ascii="Times New Roman" w:eastAsia="仿宋"/>
          <w:sz w:val="32"/>
          <w:szCs w:val="32"/>
        </w:rPr>
        <w:t>行政执法管理：负责景区范围内有关法律、法规的行政执法工作；</w:t>
      </w:r>
      <w:r>
        <w:rPr>
          <w:rFonts w:ascii="Times New Roman" w:hAnsi="Times New Roman" w:eastAsia="仿宋"/>
          <w:sz w:val="32"/>
          <w:szCs w:val="32"/>
        </w:rPr>
        <w:t>6.</w:t>
      </w:r>
      <w:r>
        <w:rPr>
          <w:rFonts w:ascii="Times New Roman" w:eastAsia="仿宋"/>
          <w:sz w:val="32"/>
          <w:szCs w:val="32"/>
        </w:rPr>
        <w:t>负责景区对外宣传和招商引资工作；</w:t>
      </w:r>
      <w:r>
        <w:rPr>
          <w:rFonts w:ascii="Times New Roman" w:hAnsi="Times New Roman" w:eastAsia="仿宋"/>
          <w:sz w:val="32"/>
          <w:szCs w:val="32"/>
        </w:rPr>
        <w:t>7.</w:t>
      </w:r>
      <w:r>
        <w:rPr>
          <w:rFonts w:ascii="Times New Roman" w:eastAsia="仿宋"/>
          <w:sz w:val="32"/>
          <w:szCs w:val="32"/>
        </w:rPr>
        <w:t>经营管理：负责对景区范围内从事经营活动的单位和个人依法进行监督管理；</w:t>
      </w:r>
      <w:r>
        <w:rPr>
          <w:rFonts w:ascii="Times New Roman" w:hAnsi="Times New Roman" w:eastAsia="仿宋"/>
          <w:sz w:val="32"/>
          <w:szCs w:val="32"/>
        </w:rPr>
        <w:t>8.</w:t>
      </w:r>
      <w:r>
        <w:rPr>
          <w:rFonts w:ascii="Times New Roman" w:eastAsia="仿宋"/>
          <w:sz w:val="32"/>
          <w:szCs w:val="32"/>
        </w:rPr>
        <w:t>协助市交通、环保和公安等部门开展港监、环</w:t>
      </w:r>
      <w:r>
        <w:rPr>
          <w:rFonts w:eastAsia="仿宋"/>
          <w:sz w:val="32"/>
          <w:szCs w:val="32"/>
        </w:rPr>
        <w:t>保、治安管理工作。</w:t>
      </w:r>
    </w:p>
    <w:p w14:paraId="4801E822">
      <w:pPr>
        <w:pStyle w:val="4"/>
        <w:rPr>
          <w:rStyle w:val="29"/>
          <w:rFonts w:ascii="Times New Roman" w:hAnsi="Times New Roman"/>
          <w:b w:val="0"/>
          <w:bCs w:val="0"/>
        </w:rPr>
      </w:pPr>
      <w:bookmarkStart w:id="14" w:name="_Toc15396601"/>
      <w:bookmarkStart w:id="15" w:name="_Toc15377200"/>
      <w:r>
        <w:rPr>
          <w:rFonts w:hint="eastAsia" w:ascii="Times New Roman" w:hAnsi="Times New Roman" w:eastAsia="黑体"/>
          <w:b w:val="0"/>
        </w:rPr>
        <w:t>二、机</w:t>
      </w:r>
      <w:r>
        <w:rPr>
          <w:rStyle w:val="29"/>
          <w:rFonts w:hint="eastAsia" w:ascii="Times New Roman" w:hAnsi="Times New Roman" w:eastAsia="黑体"/>
          <w:b w:val="0"/>
          <w:bCs w:val="0"/>
        </w:rPr>
        <w:t>构设置</w:t>
      </w:r>
      <w:bookmarkEnd w:id="14"/>
      <w:bookmarkEnd w:id="15"/>
    </w:p>
    <w:p w14:paraId="5206F515">
      <w:pPr>
        <w:snapToGrid w:val="0"/>
        <w:spacing w:line="520" w:lineRule="exact"/>
        <w:ind w:firstLine="640" w:firstLineChars="200"/>
        <w:rPr>
          <w:rFonts w:hint="eastAsia" w:ascii="Times New Roman" w:hAnsi="Times New Roman" w:eastAsia="仿宋"/>
          <w:sz w:val="32"/>
          <w:szCs w:val="32"/>
        </w:rPr>
      </w:pPr>
      <w:r>
        <w:rPr>
          <w:rFonts w:eastAsia="仿宋"/>
          <w:sz w:val="32"/>
          <w:szCs w:val="32"/>
        </w:rPr>
        <w:t>我单位为市林业局直属管理二级独立核算参照公务员法管理全额拨款公益一类事业单位，本年度机构无变动情况。</w:t>
      </w:r>
      <w:r>
        <w:rPr>
          <w:rFonts w:ascii="Times New Roman" w:eastAsia="仿宋"/>
          <w:color w:val="000000"/>
          <w:sz w:val="32"/>
          <w:szCs w:val="32"/>
        </w:rPr>
        <w:t>人员编制为</w:t>
      </w:r>
      <w:r>
        <w:rPr>
          <w:rFonts w:ascii="Times New Roman" w:hAnsi="Times New Roman" w:eastAsia="仿宋"/>
          <w:color w:val="000000"/>
          <w:sz w:val="32"/>
          <w:szCs w:val="32"/>
        </w:rPr>
        <w:t>7</w:t>
      </w:r>
      <w:r>
        <w:rPr>
          <w:rFonts w:ascii="Times New Roman" w:eastAsia="仿宋"/>
          <w:color w:val="000000"/>
          <w:sz w:val="32"/>
          <w:szCs w:val="32"/>
        </w:rPr>
        <w:t>名，实有人员为</w:t>
      </w:r>
      <w:r>
        <w:rPr>
          <w:rFonts w:hint="eastAsia" w:eastAsia="仿宋"/>
          <w:color w:val="000000"/>
          <w:sz w:val="32"/>
          <w:szCs w:val="32"/>
          <w:lang w:val="en-US" w:eastAsia="zh-CN"/>
        </w:rPr>
        <w:t>7</w:t>
      </w:r>
      <w:r>
        <w:rPr>
          <w:rFonts w:ascii="Times New Roman" w:eastAsia="仿宋"/>
          <w:color w:val="000000"/>
          <w:sz w:val="32"/>
          <w:szCs w:val="32"/>
        </w:rPr>
        <w:t>名，退休人员</w:t>
      </w:r>
      <w:r>
        <w:rPr>
          <w:rFonts w:ascii="Times New Roman" w:hAnsi="Times New Roman" w:eastAsia="仿宋"/>
          <w:color w:val="000000"/>
          <w:sz w:val="32"/>
          <w:szCs w:val="32"/>
        </w:rPr>
        <w:t>5</w:t>
      </w:r>
      <w:r>
        <w:rPr>
          <w:rFonts w:ascii="Times New Roman" w:eastAsia="仿宋"/>
          <w:color w:val="000000"/>
          <w:sz w:val="32"/>
          <w:szCs w:val="32"/>
        </w:rPr>
        <w:t>名（已交社保统一管理）。</w:t>
      </w:r>
    </w:p>
    <w:p w14:paraId="00DE0AB6">
      <w:pPr>
        <w:pStyle w:val="2"/>
        <w:adjustRightInd w:val="0"/>
        <w:snapToGrid w:val="0"/>
        <w:spacing w:before="93" w:line="600" w:lineRule="exact"/>
        <w:ind w:firstLine="1120" w:firstLineChars="350"/>
        <w:rPr>
          <w:rFonts w:ascii="Times New Roman" w:cs="仿宋_GB2312"/>
          <w:sz w:val="32"/>
          <w:szCs w:val="32"/>
        </w:rPr>
      </w:pPr>
    </w:p>
    <w:p w14:paraId="4D12CB5E">
      <w:pPr>
        <w:widowControl/>
        <w:jc w:val="left"/>
        <w:rPr>
          <w:rFonts w:eastAsia="仿宋"/>
          <w:kern w:val="0"/>
          <w:sz w:val="32"/>
          <w:szCs w:val="32"/>
        </w:rPr>
      </w:pPr>
      <w:r>
        <w:rPr>
          <w:rFonts w:eastAsia="仿宋"/>
          <w:sz w:val="32"/>
          <w:szCs w:val="32"/>
        </w:rPr>
        <w:br w:type="page"/>
      </w:r>
    </w:p>
    <w:p w14:paraId="298C1705">
      <w:pPr>
        <w:pStyle w:val="3"/>
        <w:jc w:val="center"/>
        <w:rPr>
          <w:rFonts w:eastAsia="方正小标宋简体" w:cs="方正小标宋简体"/>
          <w:b w:val="0"/>
        </w:rPr>
      </w:pPr>
      <w:bookmarkStart w:id="16" w:name="_Toc15396602"/>
      <w:bookmarkStart w:id="17" w:name="_Toc15377204"/>
      <w:r>
        <w:rPr>
          <w:rFonts w:hint="eastAsia" w:eastAsia="方正小标宋简体" w:cs="方正小标宋简体"/>
          <w:b w:val="0"/>
        </w:rPr>
        <w:t>第二部分  2024年度部门决算情况说明</w:t>
      </w:r>
      <w:bookmarkEnd w:id="16"/>
      <w:bookmarkEnd w:id="17"/>
    </w:p>
    <w:p w14:paraId="281A16D8"/>
    <w:p w14:paraId="67CA6E70">
      <w:pPr>
        <w:pStyle w:val="27"/>
        <w:spacing w:line="600" w:lineRule="exact"/>
        <w:ind w:firstLine="640"/>
        <w:outlineLvl w:val="1"/>
        <w:rPr>
          <w:rStyle w:val="29"/>
          <w:rFonts w:ascii="Times New Roman" w:hAnsi="Times New Roman" w:eastAsia="黑体"/>
          <w:b w:val="0"/>
        </w:rPr>
      </w:pPr>
      <w:bookmarkStart w:id="18" w:name="_Toc15377205"/>
      <w:bookmarkStart w:id="19" w:name="_Toc15396603"/>
      <w:r>
        <w:rPr>
          <w:rFonts w:hint="eastAsia" w:eastAsia="黑体"/>
          <w:sz w:val="32"/>
          <w:szCs w:val="32"/>
        </w:rPr>
        <w:t>一、收</w:t>
      </w:r>
      <w:r>
        <w:rPr>
          <w:rStyle w:val="29"/>
          <w:rFonts w:hint="eastAsia" w:ascii="Times New Roman" w:hAnsi="Times New Roman" w:eastAsia="黑体"/>
          <w:b w:val="0"/>
        </w:rPr>
        <w:t>入支出决算总体情况说明</w:t>
      </w:r>
      <w:bookmarkEnd w:id="18"/>
      <w:bookmarkEnd w:id="19"/>
    </w:p>
    <w:p w14:paraId="606B13CF">
      <w:pPr>
        <w:pStyle w:val="27"/>
        <w:spacing w:line="600" w:lineRule="exact"/>
        <w:ind w:firstLine="640"/>
        <w:outlineLvl w:val="1"/>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2024年度收入、支出总计均为596.53万元。与2023年度相比，收入、支出总计各增加</w:t>
      </w:r>
      <w:r>
        <w:rPr>
          <w:rFonts w:hint="eastAsia" w:ascii="Times New Roman" w:hAnsi="Times New Roman" w:eastAsia="仿宋_GB2312" w:cs="仿宋_GB2312"/>
          <w:sz w:val="32"/>
          <w:szCs w:val="32"/>
          <w:lang w:val="en-US" w:eastAsia="zh-CN"/>
        </w:rPr>
        <w:t>121.98</w:t>
      </w:r>
      <w:r>
        <w:rPr>
          <w:rFonts w:hint="eastAsia" w:ascii="Times New Roman" w:hAnsi="Times New Roman" w:eastAsia="仿宋_GB2312" w:cs="仿宋_GB2312"/>
          <w:sz w:val="32"/>
          <w:szCs w:val="32"/>
        </w:rPr>
        <w:t>万元，增长</w:t>
      </w:r>
      <w:r>
        <w:rPr>
          <w:rFonts w:hint="eastAsia" w:ascii="Times New Roman" w:hAnsi="Times New Roman" w:eastAsia="仿宋_GB2312" w:cs="仿宋_GB2312"/>
          <w:sz w:val="32"/>
          <w:szCs w:val="32"/>
          <w:lang w:val="en-US" w:eastAsia="zh-CN"/>
        </w:rPr>
        <w:t>25.7</w:t>
      </w:r>
      <w:r>
        <w:rPr>
          <w:rFonts w:hint="eastAsia" w:ascii="Times New Roman" w:hAnsi="Times New Roman" w:eastAsia="仿宋_GB2312" w:cs="仿宋_GB2312"/>
          <w:sz w:val="32"/>
          <w:szCs w:val="32"/>
        </w:rPr>
        <w:t>%。主要变动原因是</w:t>
      </w:r>
      <w:r>
        <w:rPr>
          <w:rFonts w:hint="eastAsia" w:ascii="Times New Roman" w:hAnsi="Times New Roman" w:eastAsia="仿宋_GB2312" w:cs="仿宋_GB2312"/>
          <w:sz w:val="32"/>
          <w:szCs w:val="32"/>
          <w:lang w:val="en-US" w:eastAsia="zh-CN"/>
        </w:rPr>
        <w:t>2024年遴选1人，人员支出、项目支出均增加。</w:t>
      </w:r>
    </w:p>
    <w:p w14:paraId="65CC9DEA">
      <w:pPr>
        <w:ind w:firstLine="640" w:firstLineChars="200"/>
      </w:pPr>
      <w:r>
        <w:rPr>
          <w:rFonts w:hint="eastAsia" w:eastAsia="仿宋_GB2312" w:cs="仿宋_GB2312"/>
          <w:sz w:val="32"/>
          <w:szCs w:val="32"/>
          <w:lang w:eastAsia="zh-CN"/>
        </w:rPr>
        <w:drawing>
          <wp:inline distT="0" distB="0" distL="114300" distR="114300">
            <wp:extent cx="5256530" cy="2988310"/>
            <wp:effectExtent l="5080" t="4445" r="15240" b="17145"/>
            <wp:docPr id="2" name="图表 2" descr="7b0a202020202263686172745265734964223a2022343631303335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B2BCDD">
      <w:pPr>
        <w:pStyle w:val="27"/>
        <w:spacing w:line="600" w:lineRule="exact"/>
        <w:ind w:firstLine="640"/>
        <w:outlineLvl w:val="1"/>
        <w:rPr>
          <w:rFonts w:eastAsia="黑体"/>
          <w:sz w:val="32"/>
          <w:szCs w:val="32"/>
        </w:rPr>
      </w:pPr>
      <w:bookmarkStart w:id="20" w:name="_Toc15396604"/>
      <w:bookmarkStart w:id="21" w:name="_Toc15377206"/>
      <w:r>
        <w:rPr>
          <w:rFonts w:hint="eastAsia" w:eastAsia="黑体"/>
          <w:sz w:val="32"/>
          <w:szCs w:val="32"/>
        </w:rPr>
        <w:t>二、收入决算情况说明</w:t>
      </w:r>
      <w:bookmarkEnd w:id="20"/>
      <w:bookmarkEnd w:id="21"/>
    </w:p>
    <w:p w14:paraId="7717C2F7">
      <w:pPr>
        <w:pStyle w:val="27"/>
        <w:spacing w:line="600" w:lineRule="exact"/>
        <w:ind w:firstLine="640"/>
        <w:jc w:val="left"/>
        <w:outlineLvl w:val="1"/>
        <w:rPr>
          <w:rFonts w:eastAsia="仿宋_GB2312" w:cs="仿宋_GB2312"/>
          <w:b/>
          <w:bCs/>
          <w:sz w:val="32"/>
          <w:szCs w:val="32"/>
        </w:rPr>
      </w:pPr>
      <w:r>
        <w:rPr>
          <w:rFonts w:hint="eastAsia" w:ascii="Times New Roman" w:hAnsi="Times New Roman" w:eastAsia="仿宋_GB2312" w:cs="仿宋_GB2312"/>
          <w:sz w:val="32"/>
          <w:szCs w:val="32"/>
        </w:rPr>
        <w:t>2024年度本年收入合计571.19万元，其中：一般公共预算财政拨款收入571.19万元，占100%；政府性基金预算财政拨款收入0万元，占0%；国有资本经营预算财政拨款收入0万元，占0%；上级补助收入0万元，占0%；事业收入0万元，占0%；经营收入0万元，占0%；附属单位上缴收入0万元，占0%；其他收入0万元，占0%。</w:t>
      </w:r>
    </w:p>
    <w:p w14:paraId="1983AAAB">
      <w:pPr>
        <w:ind w:firstLine="800" w:firstLineChars="250"/>
        <w:rPr>
          <w:rFonts w:eastAsia="仿宋_GB2312" w:cs="仿宋_GB2312"/>
          <w:sz w:val="32"/>
          <w:szCs w:val="32"/>
        </w:rPr>
      </w:pPr>
      <w:r>
        <w:rPr>
          <w:rFonts w:hint="eastAsia" w:eastAsia="仿宋_GB2312" w:cs="仿宋_GB2312"/>
          <w:sz w:val="32"/>
          <w:szCs w:val="32"/>
          <w:lang w:eastAsia="zh-CN"/>
        </w:rPr>
        <w:drawing>
          <wp:inline distT="0" distB="0" distL="114300" distR="114300">
            <wp:extent cx="5256530" cy="2988310"/>
            <wp:effectExtent l="5080" t="4445" r="15240" b="17145"/>
            <wp:docPr id="3" name="图表 3"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EF3DEA">
      <w:pPr>
        <w:pStyle w:val="27"/>
        <w:spacing w:line="600" w:lineRule="exact"/>
        <w:ind w:firstLine="640"/>
        <w:outlineLvl w:val="1"/>
        <w:rPr>
          <w:rStyle w:val="29"/>
          <w:rFonts w:ascii="Times New Roman" w:hAnsi="Times New Roman" w:eastAsia="黑体"/>
          <w:b w:val="0"/>
        </w:rPr>
      </w:pPr>
      <w:bookmarkStart w:id="22" w:name="_Toc15377207"/>
      <w:bookmarkStart w:id="23" w:name="_Toc15396605"/>
      <w:r>
        <w:rPr>
          <w:rFonts w:hint="eastAsia" w:eastAsia="黑体"/>
          <w:sz w:val="32"/>
          <w:szCs w:val="32"/>
        </w:rPr>
        <w:t>三、支</w:t>
      </w:r>
      <w:r>
        <w:rPr>
          <w:rStyle w:val="29"/>
          <w:rFonts w:hint="eastAsia" w:ascii="Times New Roman" w:hAnsi="Times New Roman" w:eastAsia="黑体"/>
          <w:b w:val="0"/>
        </w:rPr>
        <w:t>出决算情况说明</w:t>
      </w:r>
      <w:bookmarkEnd w:id="22"/>
      <w:bookmarkEnd w:id="23"/>
    </w:p>
    <w:p w14:paraId="32A56E60">
      <w:pPr>
        <w:pStyle w:val="27"/>
        <w:spacing w:line="600" w:lineRule="exact"/>
        <w:ind w:firstLine="640"/>
        <w:jc w:val="left"/>
        <w:outlineLvl w:val="1"/>
        <w:rPr>
          <w:rFonts w:eastAsia="仿宋_GB2312" w:cs="仿宋_GB2312"/>
          <w:sz w:val="32"/>
          <w:szCs w:val="32"/>
        </w:rPr>
      </w:pPr>
      <w:r>
        <w:rPr>
          <w:rFonts w:hint="eastAsia" w:ascii="Times New Roman" w:hAnsi="Times New Roman" w:eastAsia="仿宋_GB2312" w:cs="仿宋_GB2312"/>
          <w:sz w:val="32"/>
          <w:szCs w:val="32"/>
        </w:rPr>
        <w:t>2024年度本年支出合计571.19万元，其中：基本支出168.62万元，占29.52%；项目支出402.58万元，占70.47%；上缴上级支出0万元，占0%；经营支出0万元，占0%；对附属单位补助支出0万元，占0%</w:t>
      </w:r>
      <w:r>
        <w:rPr>
          <w:rFonts w:hint="eastAsia" w:ascii="仿宋_GB2312" w:hAnsi="仿宋_GB2312" w:eastAsia="仿宋_GB2312" w:cs="仿宋_GB2312"/>
          <w:sz w:val="32"/>
          <w:szCs w:val="32"/>
        </w:rPr>
        <w:t>。</w:t>
      </w:r>
    </w:p>
    <w:p w14:paraId="76182998">
      <w:pPr>
        <w:ind w:firstLine="800" w:firstLineChars="250"/>
        <w:rPr>
          <w:rFonts w:eastAsia="仿宋_GB2312" w:cs="仿宋_GB2312"/>
          <w:sz w:val="32"/>
          <w:szCs w:val="32"/>
        </w:rPr>
      </w:pPr>
      <w:r>
        <w:rPr>
          <w:rFonts w:hint="eastAsia" w:eastAsia="仿宋_GB2312" w:cs="仿宋_GB2312"/>
          <w:sz w:val="32"/>
          <w:szCs w:val="32"/>
          <w:lang w:eastAsia="zh-CN"/>
        </w:rPr>
        <w:drawing>
          <wp:inline distT="0" distB="0" distL="114300" distR="114300">
            <wp:extent cx="5256530" cy="2988310"/>
            <wp:effectExtent l="5080" t="4445" r="15240" b="17145"/>
            <wp:docPr id="4" name="图表 4" descr="7b0a202020202263686172745265734964223a20223435333834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227FFA">
      <w:pPr>
        <w:spacing w:line="600" w:lineRule="exact"/>
        <w:ind w:firstLine="640" w:firstLineChars="200"/>
        <w:outlineLvl w:val="1"/>
        <w:rPr>
          <w:rFonts w:hint="eastAsia" w:eastAsia="黑体"/>
          <w:sz w:val="32"/>
          <w:szCs w:val="32"/>
        </w:rPr>
      </w:pPr>
      <w:bookmarkStart w:id="24" w:name="_Toc15396606"/>
      <w:bookmarkStart w:id="25" w:name="_Toc15377208"/>
    </w:p>
    <w:p w14:paraId="1ECF6FD3">
      <w:pPr>
        <w:spacing w:line="600" w:lineRule="exact"/>
        <w:ind w:firstLine="640" w:firstLineChars="200"/>
        <w:outlineLvl w:val="1"/>
        <w:rPr>
          <w:rStyle w:val="29"/>
          <w:rFonts w:ascii="Times New Roman" w:hAnsi="Times New Roman" w:eastAsia="黑体"/>
          <w:b w:val="0"/>
        </w:rPr>
      </w:pPr>
      <w:r>
        <w:rPr>
          <w:rFonts w:hint="eastAsia" w:eastAsia="黑体"/>
          <w:sz w:val="32"/>
          <w:szCs w:val="32"/>
        </w:rPr>
        <w:t>四、财</w:t>
      </w:r>
      <w:r>
        <w:rPr>
          <w:rStyle w:val="29"/>
          <w:rFonts w:hint="eastAsia" w:ascii="Times New Roman" w:hAnsi="Times New Roman" w:eastAsia="黑体"/>
          <w:b w:val="0"/>
        </w:rPr>
        <w:t>政拨款收入支出决算总体情况说明</w:t>
      </w:r>
      <w:bookmarkEnd w:id="24"/>
      <w:bookmarkEnd w:id="25"/>
    </w:p>
    <w:p w14:paraId="7983E418">
      <w:pPr>
        <w:spacing w:line="600" w:lineRule="exact"/>
        <w:ind w:firstLine="640"/>
        <w:rPr>
          <w:rFonts w:eastAsia="仿宋_GB2312" w:cs="仿宋_GB2312"/>
          <w:sz w:val="32"/>
          <w:szCs w:val="32"/>
        </w:rPr>
      </w:pPr>
      <w:r>
        <w:rPr>
          <w:rFonts w:hint="eastAsia" w:ascii="Times New Roman" w:hAnsi="Times New Roman" w:eastAsia="仿宋_GB2312" w:cs="仿宋_GB2312"/>
          <w:kern w:val="2"/>
          <w:sz w:val="32"/>
          <w:szCs w:val="32"/>
          <w:lang w:val="en-US" w:eastAsia="zh-CN" w:bidi="ar-SA"/>
        </w:rPr>
        <w:t>2024年度财政拨款收入、支出总计均为571.19万元。与2023年度相比，财政拨款收入总计、支出总计各增加131.97万元，增长30.05%。主要变动原因是2024年遴选1人，人员支出、项目支出均增加。</w:t>
      </w:r>
    </w:p>
    <w:p w14:paraId="1A9C324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仿宋_GB2312" w:cs="仿宋_GB2312"/>
          <w:sz w:val="32"/>
          <w:szCs w:val="32"/>
        </w:rPr>
      </w:pPr>
      <w:r>
        <w:rPr>
          <w:rFonts w:hint="eastAsia"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51435</wp:posOffset>
            </wp:positionH>
            <wp:positionV relativeFrom="paragraph">
              <wp:posOffset>178435</wp:posOffset>
            </wp:positionV>
            <wp:extent cx="5256530" cy="2988310"/>
            <wp:effectExtent l="5080" t="4445" r="15240" b="17145"/>
            <wp:wrapTopAndBottom/>
            <wp:docPr id="5" name="图表 5"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75848245">
      <w:pPr>
        <w:spacing w:line="600" w:lineRule="exact"/>
        <w:ind w:firstLine="640" w:firstLineChars="200"/>
        <w:outlineLvl w:val="1"/>
        <w:rPr>
          <w:rFonts w:hint="eastAsia" w:eastAsia="黑体"/>
          <w:sz w:val="32"/>
          <w:szCs w:val="32"/>
        </w:rPr>
      </w:pPr>
      <w:bookmarkStart w:id="26" w:name="_Toc15396607"/>
      <w:bookmarkStart w:id="27" w:name="_Toc15377209"/>
    </w:p>
    <w:p w14:paraId="28F7BF2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1"/>
        <w:rPr>
          <w:rStyle w:val="29"/>
          <w:rFonts w:ascii="Times New Roman" w:hAnsi="Times New Roman" w:eastAsia="黑体"/>
          <w:b w:val="0"/>
        </w:rPr>
      </w:pPr>
      <w:r>
        <w:rPr>
          <w:rFonts w:hint="eastAsia" w:eastAsia="黑体"/>
          <w:sz w:val="32"/>
          <w:szCs w:val="32"/>
        </w:rPr>
        <w:t>五、</w:t>
      </w:r>
      <w:r>
        <w:rPr>
          <w:rFonts w:hint="eastAsia" w:eastAsia="黑体"/>
          <w:b/>
          <w:sz w:val="32"/>
          <w:szCs w:val="32"/>
        </w:rPr>
        <w:t>一</w:t>
      </w:r>
      <w:r>
        <w:rPr>
          <w:rStyle w:val="29"/>
          <w:rFonts w:hint="eastAsia" w:ascii="Times New Roman" w:hAnsi="Times New Roman" w:eastAsia="黑体"/>
          <w:b w:val="0"/>
        </w:rPr>
        <w:t>般公共预算财政拨款支出决算情况说明</w:t>
      </w:r>
      <w:bookmarkEnd w:id="26"/>
      <w:bookmarkEnd w:id="27"/>
    </w:p>
    <w:p w14:paraId="64528687">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outlineLvl w:val="2"/>
        <w:rPr>
          <w:rFonts w:eastAsia="楷体_GB2312" w:cs="楷体_GB2312"/>
          <w:b/>
          <w:sz w:val="32"/>
          <w:szCs w:val="32"/>
        </w:rPr>
      </w:pPr>
      <w:bookmarkStart w:id="28" w:name="_Toc15377210"/>
      <w:r>
        <w:rPr>
          <w:rFonts w:hint="eastAsia" w:eastAsia="楷体_GB2312" w:cs="楷体_GB2312"/>
          <w:b/>
          <w:sz w:val="32"/>
          <w:szCs w:val="32"/>
        </w:rPr>
        <w:t>（一）一般公共预算财政拨款支出决算总体情况</w:t>
      </w:r>
      <w:bookmarkEnd w:id="28"/>
    </w:p>
    <w:p w14:paraId="6B85BB46">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2024年度一般公共预算财政拨款支出571.19万元，占本年支出合计的100%。与2023年度相比，一般公共预算财政拨款支出增加131.97万元，增长30.05%。主要变动原因是2024年遴选1人，人员支出、项目支出均增加。</w:t>
      </w:r>
    </w:p>
    <w:p w14:paraId="77C3686A">
      <w:pPr>
        <w:spacing w:line="600" w:lineRule="exact"/>
        <w:rPr>
          <w:rFonts w:eastAsia="仿宋_GB2312" w:cs="仿宋_GB2312"/>
          <w:sz w:val="32"/>
          <w:szCs w:val="32"/>
        </w:rPr>
      </w:pPr>
      <w:r>
        <w:rPr>
          <w:rFonts w:hint="eastAsia" w:eastAsia="仿宋_GB2312" w:cs="仿宋_GB2312"/>
          <w:sz w:val="32"/>
          <w:szCs w:val="32"/>
          <w:lang w:eastAsia="zh-CN"/>
        </w:rPr>
        <w:drawing>
          <wp:anchor distT="0" distB="0" distL="114300" distR="114300" simplePos="0" relativeHeight="251660288" behindDoc="0" locked="0" layoutInCell="1" allowOverlap="1">
            <wp:simplePos x="0" y="0"/>
            <wp:positionH relativeFrom="column">
              <wp:posOffset>311785</wp:posOffset>
            </wp:positionH>
            <wp:positionV relativeFrom="paragraph">
              <wp:posOffset>148590</wp:posOffset>
            </wp:positionV>
            <wp:extent cx="5256530" cy="2988310"/>
            <wp:effectExtent l="5080" t="4445" r="15240" b="17145"/>
            <wp:wrapTopAndBottom/>
            <wp:docPr id="6" name="图表 6" descr="7b0a202020202263686172745265734964223a2022343631303335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64C8AF7">
      <w:pPr>
        <w:spacing w:line="600" w:lineRule="exact"/>
        <w:ind w:firstLine="643" w:firstLineChars="200"/>
        <w:outlineLvl w:val="2"/>
        <w:rPr>
          <w:rFonts w:eastAsia="楷体_GB2312" w:cs="楷体_GB2312"/>
          <w:b/>
          <w:sz w:val="32"/>
          <w:szCs w:val="32"/>
        </w:rPr>
      </w:pPr>
      <w:bookmarkStart w:id="29" w:name="_Toc15377211"/>
      <w:r>
        <w:rPr>
          <w:rFonts w:hint="eastAsia" w:eastAsia="楷体_GB2312" w:cs="楷体_GB2312"/>
          <w:b/>
          <w:sz w:val="32"/>
          <w:szCs w:val="32"/>
        </w:rPr>
        <w:t>（二）一般公共预算财政拨款支出决算结构情况</w:t>
      </w:r>
      <w:bookmarkEnd w:id="29"/>
    </w:p>
    <w:p w14:paraId="2277F74A">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eastAsia="仿宋_GB2312" w:cs="仿宋_GB2312"/>
          <w:sz w:val="32"/>
          <w:szCs w:val="32"/>
          <w:lang w:eastAsia="zh-CN"/>
        </w:rPr>
      </w:pPr>
      <w:r>
        <w:rPr>
          <w:rFonts w:hint="eastAsia" w:eastAsia="仿宋_GB2312" w:cs="仿宋_GB2312"/>
          <w:sz w:val="32"/>
          <w:szCs w:val="32"/>
          <w:lang w:eastAsia="zh-CN"/>
        </w:rPr>
        <w:drawing>
          <wp:anchor distT="0" distB="0" distL="114300" distR="114300" simplePos="0" relativeHeight="251661312" behindDoc="0" locked="0" layoutInCell="1" allowOverlap="1">
            <wp:simplePos x="0" y="0"/>
            <wp:positionH relativeFrom="column">
              <wp:posOffset>284480</wp:posOffset>
            </wp:positionH>
            <wp:positionV relativeFrom="paragraph">
              <wp:posOffset>2187575</wp:posOffset>
            </wp:positionV>
            <wp:extent cx="4718050" cy="2480310"/>
            <wp:effectExtent l="4445" t="4445" r="20955" b="48895"/>
            <wp:wrapSquare wrapText="bothSides"/>
            <wp:docPr id="7" name="图表 7" descr="7b0a202020202263686172745265734964223a202232303330373835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Times New Roman" w:hAnsi="Times New Roman" w:eastAsia="仿宋_GB2312" w:cs="仿宋_GB2312"/>
          <w:kern w:val="2"/>
          <w:sz w:val="32"/>
          <w:szCs w:val="32"/>
          <w:lang w:val="en-US" w:eastAsia="zh-CN" w:bidi="ar-SA"/>
        </w:rPr>
        <w:t>2024年度一般公共预算财政拨款支出571.19万元，主要用于以下方面：社会保障和就业支出28.59万元，占5%；卫生健康支出8.54万元，占1.5%；节能环保支出402.58万元，占70.48%；农林水支出119.46万元，占20.91%；住房保障支出12.03万元，占2.11%。</w:t>
      </w:r>
    </w:p>
    <w:p w14:paraId="0068A1ED">
      <w:pPr>
        <w:spacing w:line="600" w:lineRule="exact"/>
        <w:ind w:firstLine="643" w:firstLineChars="200"/>
        <w:outlineLvl w:val="2"/>
        <w:rPr>
          <w:rFonts w:eastAsia="楷体_GB2312" w:cs="楷体_GB2312"/>
          <w:b/>
          <w:sz w:val="32"/>
          <w:szCs w:val="32"/>
        </w:rPr>
      </w:pPr>
      <w:bookmarkStart w:id="30" w:name="_Toc15377212"/>
      <w:r>
        <w:rPr>
          <w:rFonts w:hint="eastAsia" w:eastAsia="楷体_GB2312" w:cs="楷体_GB2312"/>
          <w:b/>
          <w:sz w:val="32"/>
          <w:szCs w:val="32"/>
        </w:rPr>
        <w:t>（三）一般公共预算财政拨款支出决算具体情况</w:t>
      </w:r>
      <w:bookmarkEnd w:id="30"/>
    </w:p>
    <w:p w14:paraId="1650585C">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bookmarkStart w:id="31" w:name="_Toc15377444"/>
      <w:bookmarkStart w:id="32" w:name="_Toc15378460"/>
      <w:bookmarkStart w:id="33" w:name="_Toc15377213"/>
      <w:r>
        <w:rPr>
          <w:rFonts w:hint="eastAsia" w:ascii="Times New Roman" w:hAnsi="Times New Roman" w:eastAsia="仿宋_GB2312" w:cs="仿宋_GB2312"/>
          <w:kern w:val="2"/>
          <w:sz w:val="32"/>
          <w:szCs w:val="32"/>
          <w:lang w:val="en-US" w:eastAsia="zh-CN" w:bidi="ar-SA"/>
        </w:rPr>
        <w:t>2024年度一般公共预算财政拨款支出决算数为571.19，完成预算100%。其中：</w:t>
      </w:r>
      <w:bookmarkEnd w:id="31"/>
      <w:bookmarkEnd w:id="32"/>
      <w:bookmarkEnd w:id="33"/>
    </w:p>
    <w:p w14:paraId="4C42473B">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1.社会保障和就业支出（类）行政事业单位养老支出（款）行政单位离退休（项）：支出决算为14.01万元，完成预算100%。</w:t>
      </w:r>
    </w:p>
    <w:p w14:paraId="3A741FF7">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2.社会保障和就业支出（类）行政事业单位养老支出（款）机关事业单位基本养老保险缴费支出（项）：支出决算为14.58万元，完成预算100%。</w:t>
      </w:r>
    </w:p>
    <w:p w14:paraId="49D8CA18">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3.卫生健康支出（类）行政事业单位医疗（款）行政单位医疗（项）：支出决算为7.72万元，完成预算100%。</w:t>
      </w:r>
    </w:p>
    <w:p w14:paraId="6D34929F">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4.卫生健康支出（类）行政事业单位医疗（款）公务员医疗补助（项）：支出决算为0.82万元，完成预算100%。</w:t>
      </w:r>
    </w:p>
    <w:p w14:paraId="5D2185C3">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5.节能环保支出（类）自然生态保护（款）自然保护地（项）</w:t>
      </w:r>
      <w:bookmarkStart w:id="67" w:name="_GoBack"/>
      <w:r>
        <w:rPr>
          <w:rFonts w:hint="eastAsia" w:eastAsia="仿宋_GB2312" w:cs="仿宋_GB2312"/>
          <w:kern w:val="2"/>
          <w:sz w:val="32"/>
          <w:szCs w:val="32"/>
          <w:lang w:val="en-US" w:eastAsia="zh-CN" w:bidi="ar-SA"/>
        </w:rPr>
        <w:t>：</w:t>
      </w:r>
      <w:bookmarkEnd w:id="67"/>
      <w:r>
        <w:rPr>
          <w:rFonts w:hint="eastAsia" w:ascii="Times New Roman" w:hAnsi="Times New Roman" w:eastAsia="仿宋_GB2312" w:cs="仿宋_GB2312"/>
          <w:kern w:val="2"/>
          <w:sz w:val="32"/>
          <w:szCs w:val="32"/>
          <w:lang w:val="en-US" w:eastAsia="zh-CN" w:bidi="ar-SA"/>
        </w:rPr>
        <w:t>支出决算为402.58万元，完成预算100%。</w:t>
      </w:r>
    </w:p>
    <w:p w14:paraId="3584CC8D">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6.农林水支出（类）林业和草原（款）行政运行（项）：支出决算为119.46万元，完成预算100%。</w:t>
      </w:r>
    </w:p>
    <w:p w14:paraId="528C653B">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eastAsia="仿宋_GB2312" w:cs="仿宋_GB2312"/>
          <w:sz w:val="32"/>
          <w:szCs w:val="32"/>
        </w:rPr>
      </w:pPr>
      <w:r>
        <w:rPr>
          <w:rFonts w:hint="eastAsia" w:ascii="Times New Roman" w:hAnsi="Times New Roman" w:eastAsia="仿宋_GB2312" w:cs="仿宋_GB2312"/>
          <w:kern w:val="2"/>
          <w:sz w:val="32"/>
          <w:szCs w:val="32"/>
          <w:lang w:val="en-US" w:eastAsia="zh-CN" w:bidi="ar-SA"/>
        </w:rPr>
        <w:t>7.住房保障支出（类）住房改革支出（款）住房公积金（项）：支出决算为12.03万元，完成预算100%。</w:t>
      </w:r>
    </w:p>
    <w:p w14:paraId="78B177DF">
      <w:pPr>
        <w:tabs>
          <w:tab w:val="right" w:pos="8306"/>
        </w:tabs>
        <w:spacing w:line="600" w:lineRule="exact"/>
        <w:ind w:firstLine="640"/>
        <w:outlineLvl w:val="1"/>
        <w:rPr>
          <w:rStyle w:val="29"/>
          <w:rFonts w:ascii="Times New Roman" w:hAnsi="Times New Roman"/>
        </w:rPr>
      </w:pPr>
      <w:bookmarkStart w:id="34" w:name="_Toc15396608"/>
      <w:bookmarkStart w:id="35" w:name="_Toc15377214"/>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34"/>
      <w:bookmarkEnd w:id="35"/>
      <w:r>
        <w:rPr>
          <w:rStyle w:val="29"/>
          <w:rFonts w:ascii="Times New Roman" w:hAnsi="Times New Roman" w:eastAsia="黑体"/>
          <w:b w:val="0"/>
        </w:rPr>
        <w:tab/>
      </w:r>
    </w:p>
    <w:p w14:paraId="4C521504">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2024年度一般公共预算财政拨款基本支出168.62万元，其中：</w:t>
      </w:r>
    </w:p>
    <w:p w14:paraId="4C9E46C3">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人员经费151.15万元，主要包括：基本工资、津贴补贴、奖金、机关事业单位基本养老保险缴费、职业年金缴费、其他社会保障缴费、生活补助、医疗费补助、奖励金、住房公积金等。</w:t>
      </w:r>
      <w:r>
        <w:rPr>
          <w:rFonts w:hint="eastAsia" w:ascii="Times New Roman" w:hAnsi="Times New Roman" w:eastAsia="仿宋_GB2312" w:cs="仿宋_GB2312"/>
          <w:kern w:val="2"/>
          <w:sz w:val="32"/>
          <w:szCs w:val="32"/>
          <w:lang w:val="en-US" w:eastAsia="zh-CN" w:bidi="ar-SA"/>
        </w:rPr>
        <w:br w:type="textWrapping"/>
      </w:r>
      <w:r>
        <w:rPr>
          <w:rFonts w:hint="eastAsia" w:ascii="Times New Roman" w:hAnsi="Times New Roman" w:eastAsia="仿宋_GB2312" w:cs="仿宋_GB2312"/>
          <w:kern w:val="2"/>
          <w:sz w:val="32"/>
          <w:szCs w:val="32"/>
          <w:lang w:val="en-US" w:eastAsia="zh-CN" w:bidi="ar-SA"/>
        </w:rPr>
        <w:t xml:space="preserve">    公用经费17.47万元，主要包括：办公费、水费、电费、邮电费、差旅费、公务接待费、劳务费、委托业务费、工会经费、福利费、公务用车运行维护费、其他交通费、其他商品和服务支出等。</w:t>
      </w:r>
    </w:p>
    <w:p w14:paraId="78C0BA22">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1"/>
        <w:rPr>
          <w:rStyle w:val="29"/>
          <w:rFonts w:ascii="Times New Roman" w:hAnsi="Times New Roman" w:eastAsia="黑体"/>
          <w:b w:val="0"/>
        </w:rPr>
      </w:pPr>
      <w:bookmarkStart w:id="36" w:name="_Toc15377215"/>
      <w:bookmarkStart w:id="37" w:name="_Toc15396609"/>
      <w:r>
        <w:rPr>
          <w:rFonts w:hint="eastAsia"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36"/>
      <w:bookmarkEnd w:id="37"/>
    </w:p>
    <w:p w14:paraId="4674490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eastAsia="楷体_GB2312" w:cs="楷体_GB2312"/>
          <w:b/>
          <w:sz w:val="32"/>
          <w:szCs w:val="32"/>
        </w:rPr>
      </w:pPr>
      <w:bookmarkStart w:id="38" w:name="_Toc15377216"/>
      <w:r>
        <w:rPr>
          <w:rFonts w:hint="eastAsia" w:eastAsia="楷体_GB2312" w:cs="楷体_GB2312"/>
          <w:b/>
          <w:sz w:val="32"/>
          <w:szCs w:val="32"/>
        </w:rPr>
        <w:t>（一）“三公”经费财政拨款支出决算总体情况说明</w:t>
      </w:r>
      <w:bookmarkEnd w:id="38"/>
    </w:p>
    <w:p w14:paraId="0F667007">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2024年度“三公”经费财政拨款支出决算为1.29万元，完成预算100%，较上年度增加1.07万元，增长486.36%。</w:t>
      </w:r>
    </w:p>
    <w:p w14:paraId="03D4B9D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eastAsia="楷体_GB2312" w:cs="楷体_GB2312"/>
          <w:b/>
          <w:sz w:val="32"/>
          <w:szCs w:val="32"/>
        </w:rPr>
      </w:pPr>
      <w:bookmarkStart w:id="39" w:name="_Toc15377217"/>
      <w:r>
        <w:rPr>
          <w:rFonts w:hint="eastAsia" w:eastAsia="楷体_GB2312" w:cs="楷体_GB2312"/>
          <w:b/>
          <w:sz w:val="32"/>
          <w:szCs w:val="32"/>
        </w:rPr>
        <w:t>（二）“三公”经费财政拨款支出决算具体情况说明</w:t>
      </w:r>
      <w:bookmarkEnd w:id="39"/>
    </w:p>
    <w:p w14:paraId="393980F6">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eastAsia="仿宋_GB2312" w:cs="仿宋_GB2312"/>
          <w:sz w:val="32"/>
          <w:szCs w:val="32"/>
          <w:lang w:eastAsia="zh-CN"/>
        </w:rPr>
        <w:drawing>
          <wp:anchor distT="0" distB="0" distL="114300" distR="114300" simplePos="0" relativeHeight="251662336" behindDoc="0" locked="0" layoutInCell="1" allowOverlap="1">
            <wp:simplePos x="0" y="0"/>
            <wp:positionH relativeFrom="column">
              <wp:posOffset>178435</wp:posOffset>
            </wp:positionH>
            <wp:positionV relativeFrom="paragraph">
              <wp:posOffset>1623060</wp:posOffset>
            </wp:positionV>
            <wp:extent cx="4579620" cy="2395220"/>
            <wp:effectExtent l="4445" t="4445" r="6985" b="19685"/>
            <wp:wrapTopAndBottom/>
            <wp:docPr id="8" name="图表 8"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仿宋_GB2312" w:hAnsi="仿宋_GB2312" w:eastAsia="仿宋_GB2312" w:cs="仿宋_GB2312"/>
          <w:sz w:val="32"/>
          <w:szCs w:val="32"/>
        </w:rPr>
        <w:t>2024年度“三公”经费财政拨款支出决算中，因公出国（境）费支出决算0万元，占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%；公务用车购置及运行维护费支出决算1.13万元，占</w:t>
      </w:r>
      <w:r>
        <w:rPr>
          <w:rFonts w:hint="eastAsia" w:ascii="仿宋_GB2312" w:hAnsi="仿宋_GB2312" w:eastAsia="仿宋_GB2312" w:cs="仿宋_GB2312"/>
          <w:sz w:val="32"/>
          <w:szCs w:val="32"/>
          <w:lang w:val="en-US" w:eastAsia="zh-CN"/>
        </w:rPr>
        <w:t>87.6</w:t>
      </w:r>
      <w:r>
        <w:rPr>
          <w:rFonts w:hint="eastAsia" w:ascii="仿宋_GB2312" w:hAnsi="仿宋_GB2312" w:eastAsia="仿宋_GB2312" w:cs="仿宋_GB2312"/>
          <w:sz w:val="32"/>
          <w:szCs w:val="32"/>
        </w:rPr>
        <w:t>%；公务接待费支出决算0.16万元，占</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%。具体情况如下：</w:t>
      </w:r>
    </w:p>
    <w:p w14:paraId="102D2216">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eastAsia="仿宋_GB2312" w:cs="仿宋_GB2312"/>
          <w:b/>
          <w:bCs/>
          <w:sz w:val="32"/>
          <w:szCs w:val="32"/>
        </w:rPr>
        <w:t>1.因公出国（境）经费支出</w:t>
      </w:r>
      <w:r>
        <w:rPr>
          <w:rFonts w:hint="eastAsia" w:eastAsia="仿宋_GB2312" w:cs="仿宋_GB2312"/>
          <w:b/>
          <w:bCs/>
          <w:sz w:val="32"/>
          <w:szCs w:val="32"/>
          <w:lang w:val="en-US" w:eastAsia="zh-CN"/>
        </w:rPr>
        <w:t>0</w:t>
      </w:r>
      <w:r>
        <w:rPr>
          <w:rFonts w:hint="eastAsia" w:eastAsia="仿宋_GB2312" w:cs="仿宋_GB2312"/>
          <w:b/>
          <w:bCs/>
          <w:sz w:val="32"/>
          <w:szCs w:val="32"/>
        </w:rPr>
        <w:t>万元，完成预算</w:t>
      </w:r>
      <w:r>
        <w:rPr>
          <w:rFonts w:hint="eastAsia" w:eastAsia="仿宋_GB2312" w:cs="仿宋_GB2312"/>
          <w:b/>
          <w:bCs/>
          <w:sz w:val="32"/>
          <w:szCs w:val="32"/>
          <w:lang w:val="en-US" w:eastAsia="zh-CN"/>
        </w:rPr>
        <w:t>0</w:t>
      </w:r>
      <w:r>
        <w:rPr>
          <w:rFonts w:hint="eastAsia" w:eastAsia="仿宋_GB2312" w:cs="仿宋_GB2312"/>
          <w:b/>
          <w:bCs/>
          <w:sz w:val="32"/>
          <w:szCs w:val="32"/>
        </w:rPr>
        <w:t>%。</w:t>
      </w:r>
      <w:r>
        <w:rPr>
          <w:rFonts w:hint="eastAsia" w:ascii="Times New Roman" w:hAnsi="Times New Roman" w:eastAsia="仿宋_GB2312" w:cs="仿宋_GB2312"/>
          <w:kern w:val="2"/>
          <w:sz w:val="32"/>
          <w:szCs w:val="32"/>
          <w:lang w:val="en-US" w:eastAsia="zh-CN" w:bidi="ar-SA"/>
        </w:rPr>
        <w:t>全年安排因公出国（境）团组0次，出国（境）0人。因公出国（境）支出决算比2023年增加0万元，增长0%。</w:t>
      </w:r>
    </w:p>
    <w:p w14:paraId="6BC205B4">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开支内容包括：无</w:t>
      </w:r>
    </w:p>
    <w:p w14:paraId="33AB3B48">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default" w:ascii="Times New Roman" w:hAnsi="Times New Roman" w:eastAsia="仿宋_GB2312" w:cs="仿宋_GB2312"/>
          <w:kern w:val="2"/>
          <w:sz w:val="32"/>
          <w:szCs w:val="32"/>
          <w:lang w:val="en-US" w:eastAsia="zh-CN" w:bidi="ar-SA"/>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1.13万</w:t>
      </w:r>
      <w:r>
        <w:rPr>
          <w:rFonts w:hint="eastAsia" w:eastAsia="仿宋_GB2312" w:cs="仿宋_GB2312"/>
          <w:b/>
          <w:bCs/>
          <w:sz w:val="32"/>
          <w:szCs w:val="32"/>
        </w:rPr>
        <w:t>元，完成预算</w:t>
      </w:r>
      <w:r>
        <w:rPr>
          <w:rFonts w:hint="eastAsia" w:eastAsia="仿宋_GB2312" w:cs="仿宋_GB2312"/>
          <w:b/>
          <w:bCs/>
          <w:sz w:val="32"/>
          <w:szCs w:val="32"/>
          <w:lang w:val="en-US" w:eastAsia="zh-CN"/>
        </w:rPr>
        <w:t>87.6</w:t>
      </w:r>
      <w:r>
        <w:rPr>
          <w:rFonts w:hint="eastAsia" w:eastAsia="仿宋_GB2312" w:cs="仿宋_GB2312"/>
          <w:b/>
          <w:bCs/>
          <w:sz w:val="32"/>
          <w:szCs w:val="32"/>
        </w:rPr>
        <w:t>%。</w:t>
      </w:r>
      <w:r>
        <w:rPr>
          <w:rFonts w:hint="eastAsia" w:ascii="Times New Roman" w:hAnsi="Times New Roman" w:eastAsia="仿宋_GB2312" w:cs="仿宋_GB2312"/>
          <w:kern w:val="2"/>
          <w:sz w:val="32"/>
          <w:szCs w:val="32"/>
          <w:lang w:val="en-US" w:eastAsia="zh-CN" w:bidi="ar-SA"/>
        </w:rPr>
        <w:t>公务用车购置及运行维护费支出决算比2023年度增加1.13万元，增长100%。主要原因是2024年我中心通过市林业局划拨新增公务用车一辆。</w:t>
      </w:r>
    </w:p>
    <w:p w14:paraId="52C10BCF">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其中：公务用车购置支出0万元。全年按规定更新购置公务用车0辆，其中：轿车0辆、金额0万元，越野车0辆、金额0万元，载客汽车0辆、金额0万元。截至2024年12月31日，单位共有公务用车1辆，其中：轿车1辆、越野车0辆、载客汽车0辆。</w:t>
      </w:r>
    </w:p>
    <w:p w14:paraId="53850644">
      <w:pPr>
        <w:spacing w:line="600" w:lineRule="exact"/>
        <w:ind w:firstLine="640"/>
        <w:rPr>
          <w:rFonts w:eastAsia="仿宋_GB2312" w:cs="仿宋_GB2312"/>
          <w:sz w:val="32"/>
          <w:szCs w:val="32"/>
        </w:rPr>
      </w:pPr>
      <w:r>
        <w:rPr>
          <w:rFonts w:hint="eastAsia" w:ascii="Times New Roman" w:hAnsi="Times New Roman" w:eastAsia="仿宋_GB2312" w:cs="仿宋_GB2312"/>
          <w:kern w:val="2"/>
          <w:sz w:val="32"/>
          <w:szCs w:val="32"/>
          <w:lang w:val="en-US" w:eastAsia="zh-CN" w:bidi="ar-SA"/>
        </w:rPr>
        <w:t>公务用车运行维护费支出1.13万元。主要用于森林草原防灭火、森林资源巡护等日常工作所需的公务用车燃料费、维修费、保险费等支出</w:t>
      </w:r>
      <w:r>
        <w:rPr>
          <w:rFonts w:hint="eastAsia" w:eastAsia="仿宋_GB2312" w:cs="仿宋_GB2312"/>
          <w:sz w:val="32"/>
          <w:szCs w:val="32"/>
        </w:rPr>
        <w:t>。</w:t>
      </w:r>
    </w:p>
    <w:p w14:paraId="19EF01FB">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0.16万</w:t>
      </w:r>
      <w:r>
        <w:rPr>
          <w:rFonts w:hint="eastAsia" w:eastAsia="仿宋_GB2312" w:cs="仿宋_GB2312"/>
          <w:b/>
          <w:bCs/>
          <w:sz w:val="32"/>
          <w:szCs w:val="32"/>
        </w:rPr>
        <w:t>元，完成预算</w:t>
      </w:r>
      <w:r>
        <w:rPr>
          <w:rFonts w:hint="eastAsia" w:eastAsia="仿宋_GB2312" w:cs="仿宋_GB2312"/>
          <w:b/>
          <w:bCs/>
          <w:sz w:val="32"/>
          <w:szCs w:val="32"/>
          <w:lang w:val="en-US" w:eastAsia="zh-CN"/>
        </w:rPr>
        <w:t>12.4</w:t>
      </w:r>
      <w:r>
        <w:rPr>
          <w:rFonts w:hint="eastAsia" w:eastAsia="仿宋_GB2312" w:cs="仿宋_GB2312"/>
          <w:b/>
          <w:bCs/>
          <w:sz w:val="32"/>
          <w:szCs w:val="32"/>
        </w:rPr>
        <w:t>%。</w:t>
      </w:r>
      <w:r>
        <w:rPr>
          <w:rFonts w:hint="eastAsia" w:ascii="Times New Roman" w:hAnsi="Times New Roman" w:eastAsia="仿宋_GB2312" w:cs="仿宋_GB2312"/>
          <w:kern w:val="2"/>
          <w:sz w:val="32"/>
          <w:szCs w:val="32"/>
          <w:lang w:val="en-US" w:eastAsia="zh-CN" w:bidi="ar-SA"/>
        </w:rPr>
        <w:t>公务接待费支出决算比2023年度减少0.06万元，下降27.3%。主要原因是</w:t>
      </w:r>
      <w:r>
        <w:rPr>
          <w:rFonts w:hint="eastAsia" w:eastAsia="仿宋_GB2312" w:cs="仿宋_GB2312"/>
          <w:kern w:val="2"/>
          <w:sz w:val="32"/>
          <w:szCs w:val="32"/>
          <w:lang w:val="en-US" w:eastAsia="zh-CN" w:bidi="ar-SA"/>
        </w:rPr>
        <w:t>厉行节约</w:t>
      </w:r>
      <w:r>
        <w:rPr>
          <w:rFonts w:hint="eastAsia" w:ascii="Times New Roman" w:hAnsi="Times New Roman" w:eastAsia="仿宋_GB2312" w:cs="仿宋_GB2312"/>
          <w:kern w:val="2"/>
          <w:sz w:val="32"/>
          <w:szCs w:val="32"/>
          <w:lang w:val="en-US" w:eastAsia="zh-CN" w:bidi="ar-SA"/>
        </w:rPr>
        <w:t>，</w:t>
      </w:r>
      <w:r>
        <w:rPr>
          <w:rFonts w:hint="eastAsia" w:eastAsia="仿宋_GB2312" w:cs="仿宋_GB2312"/>
          <w:kern w:val="2"/>
          <w:sz w:val="32"/>
          <w:szCs w:val="32"/>
          <w:lang w:val="en-US" w:eastAsia="zh-CN" w:bidi="ar-SA"/>
        </w:rPr>
        <w:t>节约开支</w:t>
      </w:r>
      <w:r>
        <w:rPr>
          <w:rFonts w:hint="eastAsia" w:ascii="Times New Roman" w:hAnsi="Times New Roman" w:eastAsia="仿宋_GB2312" w:cs="仿宋_GB2312"/>
          <w:kern w:val="2"/>
          <w:sz w:val="32"/>
          <w:szCs w:val="32"/>
          <w:lang w:val="en-US" w:eastAsia="zh-CN" w:bidi="ar-SA"/>
        </w:rPr>
        <w:t>。其中：</w:t>
      </w:r>
    </w:p>
    <w:p w14:paraId="7D6C1942">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国内公务接待支出0.16万元，主要用于自然保护地防灭火及安全检查、二滩国家森林公园生态保护检查工作开支的餐费。国内公务接待2批次，10人次（不包括陪同人员），共计支出0.16万元，具体内容包括：自然保护地防灭火及安全检查0.06万元、二滩国家森林公园生态保护检查0.1万元。</w:t>
      </w:r>
    </w:p>
    <w:p w14:paraId="497F2844">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外事接待支出0万元。外事接待0批次，0人次（不包括陪同人员），共计支出0万元。</w:t>
      </w:r>
    </w:p>
    <w:p w14:paraId="1BEF2E38">
      <w:pPr>
        <w:spacing w:line="600" w:lineRule="exact"/>
        <w:ind w:firstLine="640"/>
        <w:outlineLvl w:val="1"/>
        <w:rPr>
          <w:rStyle w:val="29"/>
          <w:rFonts w:ascii="Times New Roman" w:hAnsi="Times New Roman" w:eastAsia="黑体"/>
        </w:rPr>
      </w:pPr>
      <w:bookmarkStart w:id="40" w:name="_Toc15377218"/>
      <w:bookmarkStart w:id="41" w:name="_Toc15396610"/>
      <w:r>
        <w:rPr>
          <w:rFonts w:hint="eastAsia" w:eastAsia="黑体"/>
          <w:sz w:val="32"/>
          <w:szCs w:val="32"/>
        </w:rPr>
        <w:t>八、</w:t>
      </w:r>
      <w:r>
        <w:rPr>
          <w:rStyle w:val="29"/>
          <w:rFonts w:hint="eastAsia" w:ascii="Times New Roman" w:hAnsi="Times New Roman" w:eastAsia="黑体"/>
          <w:b w:val="0"/>
        </w:rPr>
        <w:t>政府性基金预算支出决算情况说明</w:t>
      </w:r>
      <w:bookmarkEnd w:id="40"/>
      <w:bookmarkEnd w:id="41"/>
    </w:p>
    <w:p w14:paraId="524D8E99">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2024年度政府性基金预算财政拨款支出0万元。</w:t>
      </w:r>
    </w:p>
    <w:p w14:paraId="79F7E749">
      <w:pPr>
        <w:spacing w:line="600" w:lineRule="exact"/>
        <w:ind w:left="630"/>
        <w:outlineLvl w:val="1"/>
        <w:rPr>
          <w:rStyle w:val="29"/>
          <w:rFonts w:ascii="Times New Roman" w:hAnsi="Times New Roman" w:eastAsia="黑体"/>
          <w:b w:val="0"/>
        </w:rPr>
      </w:pPr>
      <w:bookmarkStart w:id="42" w:name="_Toc15377219"/>
      <w:bookmarkStart w:id="43" w:name="_Toc15396611"/>
      <w:r>
        <w:rPr>
          <w:rStyle w:val="29"/>
          <w:rFonts w:hint="eastAsia" w:ascii="Times New Roman" w:hAnsi="Times New Roman" w:eastAsia="黑体"/>
          <w:b w:val="0"/>
        </w:rPr>
        <w:t>九、国有资本经营预算支出决算情况说明</w:t>
      </w:r>
      <w:bookmarkEnd w:id="42"/>
      <w:bookmarkEnd w:id="43"/>
    </w:p>
    <w:p w14:paraId="68EDFFAA">
      <w:pPr>
        <w:spacing w:line="600" w:lineRule="exact"/>
        <w:ind w:firstLine="640"/>
        <w:rPr>
          <w:rFonts w:hint="eastAsia" w:ascii="Times New Roman" w:hAnsi="Times New Roman" w:eastAsia="仿宋_GB2312" w:cs="仿宋_GB2312"/>
          <w:kern w:val="2"/>
          <w:sz w:val="32"/>
          <w:szCs w:val="32"/>
          <w:lang w:val="en-US" w:eastAsia="zh-CN" w:bidi="ar-SA"/>
        </w:rPr>
      </w:pPr>
      <w:r>
        <w:rPr>
          <w:rFonts w:hint="eastAsia" w:eastAsia="仿宋_GB2312" w:cs="仿宋_GB2312"/>
          <w:sz w:val="32"/>
          <w:szCs w:val="32"/>
        </w:rPr>
        <w:t>2</w:t>
      </w:r>
      <w:r>
        <w:rPr>
          <w:rFonts w:hint="eastAsia" w:ascii="Times New Roman" w:hAnsi="Times New Roman" w:eastAsia="仿宋_GB2312" w:cs="仿宋_GB2312"/>
          <w:kern w:val="2"/>
          <w:sz w:val="32"/>
          <w:szCs w:val="32"/>
          <w:lang w:val="en-US" w:eastAsia="zh-CN" w:bidi="ar-SA"/>
        </w:rPr>
        <w:t>024年度国有资本经营预算财政拨款支出0万元。</w:t>
      </w:r>
    </w:p>
    <w:p w14:paraId="19FA897D">
      <w:pPr>
        <w:spacing w:line="600" w:lineRule="exact"/>
        <w:ind w:left="630"/>
        <w:outlineLvl w:val="1"/>
        <w:rPr>
          <w:rStyle w:val="29"/>
          <w:rFonts w:ascii="Times New Roman" w:hAnsi="Times New Roman" w:eastAsia="黑体"/>
          <w:b w:val="0"/>
        </w:rPr>
      </w:pPr>
      <w:bookmarkStart w:id="44" w:name="_Toc15377221"/>
      <w:bookmarkStart w:id="45" w:name="_Toc15396612"/>
      <w:r>
        <w:rPr>
          <w:rStyle w:val="29"/>
          <w:rFonts w:hint="eastAsia" w:ascii="Times New Roman" w:hAnsi="Times New Roman" w:eastAsia="黑体"/>
          <w:b w:val="0"/>
        </w:rPr>
        <w:t>十、其他重要事项的情况说明</w:t>
      </w:r>
      <w:bookmarkEnd w:id="44"/>
      <w:bookmarkEnd w:id="45"/>
    </w:p>
    <w:p w14:paraId="298CEF86">
      <w:pPr>
        <w:spacing w:line="600" w:lineRule="exact"/>
        <w:ind w:firstLine="643" w:firstLineChars="200"/>
        <w:outlineLvl w:val="2"/>
        <w:rPr>
          <w:rFonts w:eastAsia="楷体_GB2312" w:cs="楷体_GB2312"/>
          <w:b/>
          <w:sz w:val="32"/>
          <w:szCs w:val="32"/>
        </w:rPr>
      </w:pPr>
      <w:bookmarkStart w:id="46" w:name="_Toc15377222"/>
      <w:r>
        <w:rPr>
          <w:rFonts w:hint="eastAsia" w:eastAsia="楷体_GB2312" w:cs="楷体_GB2312"/>
          <w:b/>
          <w:sz w:val="32"/>
          <w:szCs w:val="32"/>
        </w:rPr>
        <w:t>（一）机关运行经费支出情况</w:t>
      </w:r>
      <w:bookmarkEnd w:id="46"/>
    </w:p>
    <w:p w14:paraId="515B472F">
      <w:pPr>
        <w:spacing w:line="600" w:lineRule="exact"/>
        <w:ind w:firstLine="640"/>
        <w:rPr>
          <w:rFonts w:eastAsia="仿宋_GB2312" w:cs="仿宋_GB2312"/>
          <w:sz w:val="32"/>
          <w:szCs w:val="32"/>
        </w:rPr>
      </w:pPr>
      <w:r>
        <w:rPr>
          <w:rFonts w:hint="eastAsia" w:ascii="Times New Roman" w:hAnsi="Times New Roman" w:eastAsia="仿宋_GB2312" w:cs="仿宋_GB2312"/>
          <w:kern w:val="2"/>
          <w:sz w:val="32"/>
          <w:szCs w:val="32"/>
          <w:lang w:val="en-US" w:eastAsia="zh-CN" w:bidi="ar-SA"/>
        </w:rPr>
        <w:t>2024年度，攀枝花市二滩国家森林公园保护中心（攀枝花市二滩风景名胜区保护中心）机关运行经费支出17.47万元，比2023年度增加0.19万元，增长1.1%。主要原因是2024年我中心通过遴选考调1人</w:t>
      </w:r>
      <w:r>
        <w:rPr>
          <w:rFonts w:hint="eastAsia" w:eastAsia="仿宋_GB2312" w:cs="仿宋_GB2312"/>
          <w:sz w:val="32"/>
          <w:szCs w:val="32"/>
          <w:lang w:val="en-US" w:eastAsia="zh-CN"/>
        </w:rPr>
        <w:t>。</w:t>
      </w:r>
    </w:p>
    <w:p w14:paraId="16951FD6">
      <w:pPr>
        <w:spacing w:line="600" w:lineRule="exact"/>
        <w:ind w:firstLine="643" w:firstLineChars="200"/>
        <w:outlineLvl w:val="2"/>
        <w:rPr>
          <w:rFonts w:eastAsia="楷体_GB2312" w:cs="楷体_GB2312"/>
          <w:b/>
          <w:sz w:val="32"/>
          <w:szCs w:val="32"/>
        </w:rPr>
      </w:pPr>
      <w:bookmarkStart w:id="47" w:name="_Toc15377223"/>
      <w:r>
        <w:rPr>
          <w:rFonts w:hint="eastAsia" w:eastAsia="楷体_GB2312" w:cs="楷体_GB2312"/>
          <w:b/>
          <w:sz w:val="32"/>
          <w:szCs w:val="32"/>
        </w:rPr>
        <w:t>（二）政府采购支出情况</w:t>
      </w:r>
      <w:bookmarkEnd w:id="47"/>
    </w:p>
    <w:p w14:paraId="4456619E">
      <w:pPr>
        <w:spacing w:line="600" w:lineRule="exact"/>
        <w:ind w:firstLine="640"/>
        <w:rPr>
          <w:rFonts w:eastAsia="仿宋_GB2312" w:cs="仿宋_GB2312"/>
          <w:sz w:val="32"/>
          <w:szCs w:val="32"/>
        </w:rPr>
      </w:pPr>
      <w:r>
        <w:rPr>
          <w:rFonts w:hint="eastAsia" w:ascii="Times New Roman" w:hAnsi="Times New Roman" w:eastAsia="仿宋_GB2312" w:cs="仿宋_GB2312"/>
          <w:kern w:val="2"/>
          <w:sz w:val="32"/>
          <w:szCs w:val="32"/>
          <w:lang w:val="en-US" w:eastAsia="zh-CN" w:bidi="ar-SA"/>
        </w:rPr>
        <w:t>2024年度，攀枝花市二滩国家森林公园保护中心（攀枝花市二滩风景名胜区保护中心）政府采购支出总额1.54万元，其中：政府采购货物支出0.41万元、政府采购工程支出0万元、政府采购服务支出1.13万元。主要用于采购多功能打印机一台、公务用车车辆燃油费、维修费、保险费等。授予中小企业合同金额1.21万元，占政府采购支出总额的78.19%，其中：授予小微企业合同金额0.67万元，占政府采购支出总额的43.1%</w:t>
      </w:r>
      <w:r>
        <w:rPr>
          <w:rFonts w:hint="eastAsia" w:ascii="仿宋_GB2312" w:hAnsi="仿宋_GB2312" w:eastAsia="仿宋_GB2312" w:cs="仿宋_GB2312"/>
          <w:sz w:val="32"/>
          <w:szCs w:val="32"/>
        </w:rPr>
        <w:t>。</w:t>
      </w:r>
    </w:p>
    <w:p w14:paraId="42C4563B">
      <w:pPr>
        <w:spacing w:line="600" w:lineRule="exact"/>
        <w:ind w:firstLine="643" w:firstLineChars="200"/>
        <w:outlineLvl w:val="2"/>
        <w:rPr>
          <w:rFonts w:eastAsia="楷体_GB2312" w:cs="楷体_GB2312"/>
          <w:b/>
          <w:sz w:val="32"/>
          <w:szCs w:val="32"/>
        </w:rPr>
      </w:pPr>
      <w:bookmarkStart w:id="48" w:name="_Toc15377224"/>
      <w:r>
        <w:rPr>
          <w:rFonts w:hint="eastAsia" w:eastAsia="楷体_GB2312" w:cs="楷体_GB2312"/>
          <w:b/>
          <w:sz w:val="32"/>
          <w:szCs w:val="32"/>
        </w:rPr>
        <w:t>（三）国有资产占有使用情况</w:t>
      </w:r>
      <w:bookmarkEnd w:id="48"/>
    </w:p>
    <w:p w14:paraId="2BC2AA02">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截至2024年12月31日，攀枝花市二滩国家森林公园保护中心（攀枝花市二滩风景名胜区保护中心）共有车辆1辆，其中：主要负责人用车0辆、机要通信用车0辆、应急保障用车0辆、其他用车0辆。单价100万元（含）以上设备（不含车辆）0台（套）。</w:t>
      </w:r>
    </w:p>
    <w:p w14:paraId="287FA69F">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14:paraId="147C0125">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根据预算绩效管理要求，本中心在2024年度预算编制阶段，组织对重点生态功能区转移支付资金等2个项目开展了预算事前绩效评估，对2个项目编制了绩效目标，预算执行过程中，选取2个项目开展绩效监控。</w:t>
      </w:r>
    </w:p>
    <w:p w14:paraId="1E447469">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组织对</w:t>
      </w:r>
      <w:r>
        <w:rPr>
          <w:rFonts w:hint="eastAsia" w:eastAsia="仿宋_GB2312" w:cs="仿宋_GB2312"/>
          <w:kern w:val="2"/>
          <w:sz w:val="32"/>
          <w:szCs w:val="32"/>
          <w:lang w:val="en-US" w:eastAsia="zh-CN" w:bidi="ar-SA"/>
        </w:rPr>
        <w:t>2</w:t>
      </w:r>
      <w:r>
        <w:rPr>
          <w:rFonts w:hint="eastAsia" w:ascii="Times New Roman" w:hAnsi="Times New Roman" w:eastAsia="仿宋_GB2312" w:cs="仿宋_GB2312"/>
          <w:kern w:val="2"/>
          <w:sz w:val="32"/>
          <w:szCs w:val="32"/>
          <w:lang w:val="en-US" w:eastAsia="zh-CN" w:bidi="ar-SA"/>
        </w:rPr>
        <w:t>个项目开展绩效自评，绩效自评</w:t>
      </w:r>
      <w:r>
        <w:rPr>
          <w:rFonts w:hint="eastAsia" w:eastAsia="仿宋_GB2312" w:cs="仿宋_GB2312"/>
          <w:kern w:val="2"/>
          <w:sz w:val="32"/>
          <w:szCs w:val="32"/>
          <w:lang w:val="en-US" w:eastAsia="zh-CN" w:bidi="ar-SA"/>
        </w:rPr>
        <w:t>表</w:t>
      </w:r>
      <w:r>
        <w:rPr>
          <w:rFonts w:hint="eastAsia" w:ascii="Times New Roman" w:hAnsi="Times New Roman" w:eastAsia="仿宋_GB2312" w:cs="仿宋_GB2312"/>
          <w:kern w:val="2"/>
          <w:sz w:val="32"/>
          <w:szCs w:val="32"/>
          <w:lang w:val="en-US" w:eastAsia="zh-CN" w:bidi="ar-SA"/>
        </w:rPr>
        <w:t>详见附件</w:t>
      </w:r>
      <w:r>
        <w:rPr>
          <w:rFonts w:hint="eastAsia" w:eastAsia="仿宋_GB2312" w:cs="仿宋_GB2312"/>
          <w:kern w:val="2"/>
          <w:sz w:val="32"/>
          <w:szCs w:val="32"/>
          <w:lang w:val="en-US" w:eastAsia="zh-CN" w:bidi="ar-SA"/>
        </w:rPr>
        <w:t>3</w:t>
      </w:r>
      <w:r>
        <w:rPr>
          <w:rFonts w:hint="eastAsia" w:ascii="Times New Roman" w:hAnsi="Times New Roman" w:eastAsia="仿宋_GB2312" w:cs="仿宋_GB2312"/>
          <w:kern w:val="2"/>
          <w:sz w:val="32"/>
          <w:szCs w:val="32"/>
          <w:lang w:val="en-US" w:eastAsia="zh-CN" w:bidi="ar-SA"/>
        </w:rPr>
        <w:t>。</w:t>
      </w:r>
    </w:p>
    <w:p w14:paraId="67011A53">
      <w:pPr>
        <w:pStyle w:val="13"/>
      </w:pPr>
    </w:p>
    <w:p w14:paraId="2E227D9D">
      <w:pPr>
        <w:pStyle w:val="7"/>
      </w:pPr>
    </w:p>
    <w:p w14:paraId="6C87345A">
      <w:pPr>
        <w:pStyle w:val="7"/>
      </w:pPr>
    </w:p>
    <w:p w14:paraId="41641AD6">
      <w:pPr>
        <w:pStyle w:val="7"/>
      </w:pPr>
    </w:p>
    <w:p w14:paraId="7F760979">
      <w:pPr>
        <w:pStyle w:val="7"/>
      </w:pPr>
    </w:p>
    <w:p w14:paraId="74C194A9">
      <w:pPr>
        <w:pStyle w:val="7"/>
      </w:pPr>
    </w:p>
    <w:p w14:paraId="2D36BDF1">
      <w:pPr>
        <w:pStyle w:val="7"/>
      </w:pPr>
    </w:p>
    <w:p w14:paraId="17987FF0">
      <w:pPr>
        <w:pStyle w:val="7"/>
      </w:pPr>
    </w:p>
    <w:p w14:paraId="69D18403">
      <w:pPr>
        <w:pStyle w:val="7"/>
      </w:pPr>
    </w:p>
    <w:p w14:paraId="425C524E">
      <w:pPr>
        <w:pStyle w:val="7"/>
      </w:pPr>
    </w:p>
    <w:p w14:paraId="2BC99907">
      <w:pPr>
        <w:spacing w:line="600" w:lineRule="exact"/>
        <w:rPr>
          <w:rFonts w:eastAsia="仿宋_GB2312" w:cs="仿宋_GB2312"/>
          <w:sz w:val="32"/>
          <w:szCs w:val="32"/>
        </w:rPr>
      </w:pPr>
    </w:p>
    <w:p w14:paraId="5EA5387E">
      <w:pPr>
        <w:spacing w:line="600" w:lineRule="exact"/>
        <w:jc w:val="center"/>
        <w:outlineLvl w:val="0"/>
        <w:rPr>
          <w:rFonts w:eastAsia="黑体"/>
          <w:sz w:val="44"/>
          <w:szCs w:val="44"/>
        </w:rPr>
      </w:pPr>
      <w:bookmarkStart w:id="49" w:name="_Toc15377225"/>
      <w:bookmarkStart w:id="50" w:name="_Toc15396613"/>
      <w:r>
        <w:rPr>
          <w:rFonts w:hint="eastAsia" w:eastAsia="黑体"/>
          <w:sz w:val="44"/>
          <w:szCs w:val="44"/>
        </w:rPr>
        <w:t>第三部分  名词解释</w:t>
      </w:r>
      <w:bookmarkEnd w:id="49"/>
      <w:bookmarkEnd w:id="50"/>
    </w:p>
    <w:p w14:paraId="6FAFAA98">
      <w:pPr>
        <w:spacing w:line="600" w:lineRule="exact"/>
        <w:jc w:val="left"/>
        <w:rPr>
          <w:b/>
          <w:sz w:val="44"/>
          <w:szCs w:val="44"/>
        </w:rPr>
      </w:pPr>
    </w:p>
    <w:p w14:paraId="561B56F6">
      <w:pPr>
        <w:spacing w:line="600" w:lineRule="exact"/>
        <w:ind w:firstLine="640"/>
        <w:rPr>
          <w:rFonts w:eastAsia="仿宋_GB2312" w:cs="仿宋_GB2312"/>
          <w:sz w:val="32"/>
          <w:szCs w:val="32"/>
        </w:rPr>
      </w:pPr>
      <w:r>
        <w:rPr>
          <w:rFonts w:hint="eastAsia" w:eastAsia="仿宋_GB2312" w:cs="仿宋_GB2312"/>
          <w:sz w:val="32"/>
          <w:szCs w:val="32"/>
        </w:rPr>
        <w:t>1.财政拨款收入：指单位从同级财政部门取得的财政预算资金。</w:t>
      </w:r>
    </w:p>
    <w:p w14:paraId="45CF0845">
      <w:pPr>
        <w:spacing w:line="600" w:lineRule="exact"/>
        <w:ind w:firstLine="640"/>
        <w:rPr>
          <w:rFonts w:eastAsia="仿宋_GB2312" w:cs="仿宋_GB2312"/>
          <w:sz w:val="32"/>
          <w:szCs w:val="32"/>
        </w:rPr>
      </w:pPr>
      <w:r>
        <w:rPr>
          <w:rFonts w:hint="eastAsia" w:eastAsia="仿宋_GB2312" w:cs="仿宋_GB2312"/>
          <w:sz w:val="32"/>
          <w:szCs w:val="32"/>
        </w:rPr>
        <w:t xml:space="preserve">2.使用非财政拨款结余（含专用结余）：指事业单位使用以前年度积累的非财政拨款结余弥补当年收支差额的金额。 </w:t>
      </w:r>
    </w:p>
    <w:p w14:paraId="17A8CEA7">
      <w:pPr>
        <w:spacing w:line="600" w:lineRule="exact"/>
        <w:ind w:firstLine="640"/>
        <w:rPr>
          <w:rFonts w:eastAsia="仿宋_GB2312" w:cs="仿宋_GB2312"/>
          <w:sz w:val="32"/>
          <w:szCs w:val="32"/>
        </w:rPr>
      </w:pPr>
      <w:r>
        <w:rPr>
          <w:rFonts w:hint="eastAsia" w:eastAsia="仿宋_GB2312" w:cs="仿宋_GB2312"/>
          <w:sz w:val="32"/>
          <w:szCs w:val="32"/>
          <w:lang w:val="en-US" w:eastAsia="zh-CN"/>
        </w:rPr>
        <w:t>3</w:t>
      </w:r>
      <w:r>
        <w:rPr>
          <w:rFonts w:hint="eastAsia" w:eastAsia="仿宋_GB2312" w:cs="仿宋_GB2312"/>
          <w:sz w:val="32"/>
          <w:szCs w:val="32"/>
        </w:rPr>
        <w:t xml:space="preserve">.年初结转和结余：指以前年度尚未完成、结转到本年按有关规定继续使用的资金。 </w:t>
      </w:r>
    </w:p>
    <w:p w14:paraId="6ACDA87D">
      <w:pPr>
        <w:spacing w:line="560" w:lineRule="exact"/>
        <w:ind w:firstLine="640" w:firstLineChars="200"/>
        <w:rPr>
          <w:rFonts w:eastAsia="仿宋_GB2312"/>
          <w:color w:val="000000"/>
          <w:sz w:val="32"/>
          <w:szCs w:val="32"/>
        </w:rPr>
      </w:pPr>
      <w:r>
        <w:rPr>
          <w:rFonts w:hint="eastAsia" w:eastAsia="仿宋_GB2312" w:cs="仿宋_GB2312"/>
          <w:sz w:val="32"/>
          <w:szCs w:val="32"/>
          <w:lang w:val="en-US" w:eastAsia="zh-CN"/>
        </w:rPr>
        <w:t>4</w:t>
      </w:r>
      <w:r>
        <w:rPr>
          <w:rFonts w:hint="eastAsia" w:eastAsia="仿宋_GB2312" w:cs="仿宋_GB2312"/>
          <w:sz w:val="32"/>
          <w:szCs w:val="32"/>
        </w:rPr>
        <w:t>.</w:t>
      </w:r>
      <w:r>
        <w:rPr>
          <w:rFonts w:eastAsia="仿宋_GB2312"/>
          <w:color w:val="000000"/>
          <w:sz w:val="32"/>
          <w:szCs w:val="32"/>
        </w:rPr>
        <w:t>社会保障和就业</w:t>
      </w:r>
      <w:r>
        <w:rPr>
          <w:rStyle w:val="35"/>
          <w:rFonts w:eastAsia="仿宋_GB2312"/>
          <w:b w:val="0"/>
          <w:bCs/>
          <w:color w:val="000000"/>
          <w:sz w:val="32"/>
          <w:szCs w:val="32"/>
        </w:rPr>
        <w:t>（类）行政事业单位养老支出（款）行政单位离退休（项）</w:t>
      </w:r>
      <w:r>
        <w:rPr>
          <w:rFonts w:eastAsia="仿宋_GB2312"/>
          <w:color w:val="000000"/>
          <w:sz w:val="32"/>
          <w:szCs w:val="32"/>
        </w:rPr>
        <w:t>：指反映行政单位（包括实行公务员管理的事业单位）开支的离退休经费。</w:t>
      </w:r>
    </w:p>
    <w:p w14:paraId="0D716A8F">
      <w:pPr>
        <w:spacing w:line="560" w:lineRule="exact"/>
        <w:ind w:firstLine="640" w:firstLineChars="200"/>
        <w:rPr>
          <w:rStyle w:val="35"/>
          <w:rFonts w:eastAsia="仿宋_GB2312"/>
          <w:b w:val="0"/>
          <w:bCs/>
        </w:rPr>
      </w:pPr>
      <w:r>
        <w:rPr>
          <w:rStyle w:val="35"/>
          <w:rFonts w:hint="eastAsia" w:eastAsia="仿宋_GB2312"/>
          <w:b w:val="0"/>
          <w:bCs/>
          <w:color w:val="000000"/>
          <w:sz w:val="32"/>
          <w:szCs w:val="32"/>
          <w:lang w:val="en-US" w:eastAsia="zh-CN"/>
        </w:rPr>
        <w:t>5</w:t>
      </w:r>
      <w:r>
        <w:rPr>
          <w:rStyle w:val="35"/>
          <w:rFonts w:eastAsia="仿宋_GB2312"/>
          <w:b w:val="0"/>
          <w:bCs/>
          <w:color w:val="000000"/>
          <w:sz w:val="32"/>
          <w:szCs w:val="32"/>
        </w:rPr>
        <w:t>.</w:t>
      </w:r>
      <w:r>
        <w:rPr>
          <w:rFonts w:eastAsia="仿宋_GB2312"/>
          <w:color w:val="000000"/>
          <w:sz w:val="32"/>
          <w:szCs w:val="32"/>
        </w:rPr>
        <w:t>社会保障和就业</w:t>
      </w:r>
      <w:r>
        <w:rPr>
          <w:rStyle w:val="35"/>
          <w:rFonts w:eastAsia="仿宋_GB2312"/>
          <w:b w:val="0"/>
          <w:bCs/>
          <w:color w:val="000000"/>
          <w:sz w:val="32"/>
          <w:szCs w:val="32"/>
        </w:rPr>
        <w:t>（类）行政事业单位养老支出（款）机关事业单位基本养老保险缴费支出（项）：指反映机关事业单位</w:t>
      </w:r>
      <w:r>
        <w:rPr>
          <w:rStyle w:val="35"/>
          <w:rFonts w:hint="eastAsia" w:eastAsia="仿宋_GB2312"/>
          <w:b w:val="0"/>
          <w:bCs/>
          <w:color w:val="000000"/>
          <w:sz w:val="32"/>
          <w:szCs w:val="32"/>
          <w:lang w:val="en-US" w:eastAsia="zh-CN"/>
        </w:rPr>
        <w:t>实施</w:t>
      </w:r>
      <w:r>
        <w:rPr>
          <w:rStyle w:val="35"/>
          <w:rFonts w:eastAsia="仿宋_GB2312"/>
          <w:b w:val="0"/>
          <w:bCs/>
          <w:color w:val="000000"/>
          <w:sz w:val="32"/>
          <w:szCs w:val="32"/>
        </w:rPr>
        <w:t>养老保险制度由单位实际缴纳的基本养老保险费支出。</w:t>
      </w:r>
    </w:p>
    <w:p w14:paraId="059B78C8">
      <w:pPr>
        <w:spacing w:line="600" w:lineRule="exact"/>
        <w:ind w:firstLine="640"/>
        <w:rPr>
          <w:rFonts w:hint="eastAsia" w:eastAsia="仿宋_GB2312" w:cs="仿宋_GB2312"/>
          <w:sz w:val="32"/>
          <w:szCs w:val="32"/>
          <w:lang w:eastAsia="zh-CN"/>
        </w:rPr>
      </w:pPr>
      <w:r>
        <w:rPr>
          <w:rStyle w:val="35"/>
          <w:rFonts w:hint="eastAsia" w:ascii="Times New Roman"/>
          <w:b w:val="0"/>
          <w:bCs/>
          <w:color w:val="000000"/>
          <w:sz w:val="32"/>
          <w:szCs w:val="32"/>
          <w:lang w:val="en-US" w:eastAsia="zh-CN"/>
        </w:rPr>
        <w:t>6.</w:t>
      </w:r>
      <w:r>
        <w:rPr>
          <w:rFonts w:hint="eastAsia" w:eastAsia="仿宋_GB2312" w:cs="仿宋_GB2312"/>
          <w:sz w:val="32"/>
          <w:szCs w:val="32"/>
        </w:rPr>
        <w:t>卫生健康</w:t>
      </w:r>
      <w:r>
        <w:rPr>
          <w:rFonts w:hint="eastAsia" w:eastAsia="仿宋_GB2312" w:cs="仿宋_GB2312"/>
          <w:sz w:val="32"/>
          <w:szCs w:val="32"/>
          <w:lang w:val="en-US" w:eastAsia="zh-CN"/>
        </w:rPr>
        <w:t>支出</w:t>
      </w:r>
      <w:r>
        <w:rPr>
          <w:rFonts w:hint="eastAsia" w:eastAsia="仿宋_GB2312" w:cs="仿宋_GB2312"/>
          <w:sz w:val="32"/>
          <w:szCs w:val="32"/>
        </w:rPr>
        <w:t>（类）</w:t>
      </w:r>
      <w:r>
        <w:rPr>
          <w:rFonts w:hint="eastAsia" w:eastAsia="仿宋_GB2312" w:cs="仿宋_GB2312"/>
          <w:sz w:val="32"/>
          <w:szCs w:val="32"/>
          <w:lang w:val="en-US" w:eastAsia="zh-CN"/>
        </w:rPr>
        <w:t>行政事业单位医疗</w:t>
      </w:r>
      <w:r>
        <w:rPr>
          <w:rFonts w:hint="eastAsia" w:eastAsia="仿宋_GB2312" w:cs="仿宋_GB2312"/>
          <w:sz w:val="32"/>
          <w:szCs w:val="32"/>
        </w:rPr>
        <w:t>（款）</w:t>
      </w:r>
      <w:r>
        <w:rPr>
          <w:rFonts w:hint="eastAsia" w:eastAsia="仿宋_GB2312" w:cs="仿宋_GB2312"/>
          <w:sz w:val="32"/>
          <w:szCs w:val="32"/>
          <w:lang w:val="en-US" w:eastAsia="zh-CN"/>
        </w:rPr>
        <w:t>行政单位医疗</w:t>
      </w:r>
      <w:r>
        <w:rPr>
          <w:rFonts w:hint="eastAsia" w:eastAsia="仿宋_GB2312" w:cs="仿宋_GB2312"/>
          <w:sz w:val="32"/>
          <w:szCs w:val="32"/>
        </w:rPr>
        <w:t>（项）：</w:t>
      </w:r>
      <w:r>
        <w:rPr>
          <w:rFonts w:hint="eastAsia" w:eastAsia="仿宋_GB2312" w:cs="仿宋_GB2312"/>
          <w:sz w:val="32"/>
          <w:szCs w:val="32"/>
          <w:lang w:val="en-US" w:eastAsia="zh-CN"/>
        </w:rPr>
        <w:t>反映财政部门安排的行政单位基本医疗保险缴费经费，未参加医疗保险的行政单位的公费医疗经费，按国家规定享受离休人员、红军老战士待遇人员的医疗经费</w:t>
      </w:r>
      <w:r>
        <w:rPr>
          <w:rFonts w:hint="eastAsia" w:eastAsia="仿宋_GB2312" w:cs="仿宋_GB2312"/>
          <w:sz w:val="32"/>
          <w:szCs w:val="32"/>
          <w:lang w:eastAsia="zh-CN"/>
        </w:rPr>
        <w:t>。</w:t>
      </w:r>
    </w:p>
    <w:p w14:paraId="7A0A7836">
      <w:pPr>
        <w:spacing w:line="600" w:lineRule="exact"/>
        <w:ind w:firstLine="640"/>
        <w:rPr>
          <w:rStyle w:val="35"/>
          <w:rFonts w:hint="default" w:ascii="Times New Roman" w:eastAsia="仿宋_GB2312"/>
          <w:b w:val="0"/>
          <w:bCs/>
          <w:color w:val="000000"/>
          <w:sz w:val="32"/>
          <w:szCs w:val="32"/>
          <w:lang w:val="en-US" w:eastAsia="zh-CN"/>
        </w:rPr>
      </w:pPr>
      <w:r>
        <w:rPr>
          <w:rFonts w:hint="eastAsia" w:eastAsia="仿宋_GB2312" w:cs="仿宋_GB2312"/>
          <w:sz w:val="32"/>
          <w:szCs w:val="32"/>
          <w:lang w:val="en-US" w:eastAsia="zh-CN"/>
        </w:rPr>
        <w:t>7.</w:t>
      </w:r>
      <w:r>
        <w:rPr>
          <w:rFonts w:hint="eastAsia" w:eastAsia="仿宋_GB2312" w:cs="仿宋_GB2312"/>
          <w:sz w:val="32"/>
          <w:szCs w:val="32"/>
        </w:rPr>
        <w:t>卫生健康</w:t>
      </w:r>
      <w:r>
        <w:rPr>
          <w:rFonts w:hint="eastAsia" w:eastAsia="仿宋_GB2312" w:cs="仿宋_GB2312"/>
          <w:sz w:val="32"/>
          <w:szCs w:val="32"/>
          <w:lang w:val="en-US" w:eastAsia="zh-CN"/>
        </w:rPr>
        <w:t>支出</w:t>
      </w:r>
      <w:r>
        <w:rPr>
          <w:rFonts w:hint="eastAsia" w:eastAsia="仿宋_GB2312" w:cs="仿宋_GB2312"/>
          <w:sz w:val="32"/>
          <w:szCs w:val="32"/>
        </w:rPr>
        <w:t>（类）</w:t>
      </w:r>
      <w:r>
        <w:rPr>
          <w:rFonts w:hint="eastAsia" w:eastAsia="仿宋_GB2312" w:cs="仿宋_GB2312"/>
          <w:sz w:val="32"/>
          <w:szCs w:val="32"/>
          <w:lang w:val="en-US" w:eastAsia="zh-CN"/>
        </w:rPr>
        <w:t>行政事业单位医疗</w:t>
      </w:r>
      <w:r>
        <w:rPr>
          <w:rFonts w:hint="eastAsia" w:eastAsia="仿宋_GB2312" w:cs="仿宋_GB2312"/>
          <w:sz w:val="32"/>
          <w:szCs w:val="32"/>
        </w:rPr>
        <w:t>（款）</w:t>
      </w:r>
      <w:r>
        <w:rPr>
          <w:rFonts w:hint="eastAsia" w:eastAsia="仿宋_GB2312" w:cs="仿宋_GB2312"/>
          <w:sz w:val="32"/>
          <w:szCs w:val="32"/>
          <w:lang w:val="en-US" w:eastAsia="zh-CN"/>
        </w:rPr>
        <w:t>公务员医疗补助</w:t>
      </w:r>
      <w:r>
        <w:rPr>
          <w:rFonts w:hint="eastAsia" w:eastAsia="仿宋_GB2312" w:cs="仿宋_GB2312"/>
          <w:sz w:val="32"/>
          <w:szCs w:val="32"/>
        </w:rPr>
        <w:t>（项）</w:t>
      </w:r>
      <w:r>
        <w:rPr>
          <w:rFonts w:hint="eastAsia" w:eastAsia="仿宋_GB2312" w:cs="仿宋_GB2312"/>
          <w:sz w:val="32"/>
          <w:szCs w:val="32"/>
          <w:lang w:eastAsia="zh-CN"/>
        </w:rPr>
        <w:t>：</w:t>
      </w:r>
      <w:r>
        <w:rPr>
          <w:rFonts w:hint="eastAsia" w:eastAsia="仿宋_GB2312" w:cs="仿宋_GB2312"/>
          <w:sz w:val="32"/>
          <w:szCs w:val="32"/>
          <w:lang w:val="en-US" w:eastAsia="zh-CN"/>
        </w:rPr>
        <w:t>反映财政部门安排的公务员医疗补助经费</w:t>
      </w:r>
    </w:p>
    <w:p w14:paraId="513887EE">
      <w:pPr>
        <w:pStyle w:val="2"/>
        <w:spacing w:before="93" w:line="560" w:lineRule="exact"/>
        <w:ind w:firstLine="640" w:firstLineChars="200"/>
        <w:rPr>
          <w:rStyle w:val="35"/>
          <w:rFonts w:ascii="Times New Roman"/>
          <w:szCs w:val="30"/>
        </w:rPr>
      </w:pPr>
      <w:r>
        <w:rPr>
          <w:rStyle w:val="35"/>
          <w:rFonts w:ascii="Times New Roman"/>
          <w:b w:val="0"/>
          <w:bCs/>
          <w:color w:val="000000"/>
          <w:sz w:val="32"/>
          <w:szCs w:val="32"/>
        </w:rPr>
        <w:t>8.节能环保支出（类）自然生态保护（款）自然保护地（项）：反</w:t>
      </w:r>
      <w:r>
        <w:rPr>
          <w:rStyle w:val="35"/>
          <w:rFonts w:hint="eastAsia" w:ascii="Times New Roman"/>
          <w:b w:val="0"/>
          <w:bCs/>
          <w:color w:val="000000"/>
          <w:sz w:val="32"/>
          <w:szCs w:val="32"/>
        </w:rPr>
        <w:t>映</w:t>
      </w:r>
      <w:r>
        <w:rPr>
          <w:rStyle w:val="35"/>
          <w:rFonts w:ascii="Times New Roman"/>
          <w:b w:val="0"/>
          <w:bCs/>
          <w:color w:val="000000"/>
          <w:sz w:val="32"/>
          <w:szCs w:val="32"/>
        </w:rPr>
        <w:t>用于国家公园、自然保护区、自然公园勘界、建设、调查、规划、监测、管护、生态保护补偿与修复、野生动植物保护、科研、保护设施设备运行维护、宣传及管理等方面的支出。</w:t>
      </w:r>
    </w:p>
    <w:p w14:paraId="1A3C1081">
      <w:pPr>
        <w:spacing w:line="560" w:lineRule="exact"/>
        <w:ind w:firstLine="640" w:firstLineChars="200"/>
        <w:rPr>
          <w:rStyle w:val="35"/>
          <w:rFonts w:eastAsia="仿宋_GB2312"/>
          <w:b w:val="0"/>
          <w:bCs/>
          <w:color w:val="000000"/>
          <w:sz w:val="32"/>
          <w:szCs w:val="32"/>
        </w:rPr>
      </w:pPr>
      <w:r>
        <w:rPr>
          <w:rStyle w:val="35"/>
          <w:rFonts w:eastAsia="仿宋_GB2312"/>
          <w:b w:val="0"/>
          <w:bCs/>
          <w:color w:val="000000"/>
          <w:sz w:val="32"/>
          <w:szCs w:val="32"/>
        </w:rPr>
        <w:t>9.</w:t>
      </w:r>
      <w:r>
        <w:rPr>
          <w:rFonts w:eastAsia="仿宋_GB2312"/>
          <w:color w:val="000000"/>
          <w:sz w:val="32"/>
          <w:szCs w:val="32"/>
        </w:rPr>
        <w:t>农林水支出</w:t>
      </w:r>
      <w:r>
        <w:rPr>
          <w:rStyle w:val="35"/>
          <w:rFonts w:eastAsia="仿宋_GB2312"/>
          <w:b w:val="0"/>
          <w:bCs/>
          <w:color w:val="000000"/>
          <w:sz w:val="32"/>
          <w:szCs w:val="32"/>
        </w:rPr>
        <w:t>（类）林业和草原（款）</w:t>
      </w:r>
      <w:r>
        <w:rPr>
          <w:rStyle w:val="35"/>
          <w:rFonts w:hint="eastAsia" w:eastAsia="仿宋_GB2312"/>
          <w:b w:val="0"/>
          <w:bCs/>
          <w:color w:val="000000"/>
          <w:sz w:val="32"/>
          <w:szCs w:val="32"/>
        </w:rPr>
        <w:t>行政运行</w:t>
      </w:r>
      <w:r>
        <w:rPr>
          <w:rStyle w:val="35"/>
          <w:rFonts w:eastAsia="仿宋_GB2312"/>
          <w:b w:val="0"/>
          <w:bCs/>
          <w:color w:val="000000"/>
          <w:sz w:val="32"/>
          <w:szCs w:val="32"/>
        </w:rPr>
        <w:t>（项）：指</w:t>
      </w:r>
      <w:r>
        <w:rPr>
          <w:rStyle w:val="35"/>
          <w:rFonts w:hint="eastAsia" w:eastAsia="仿宋_GB2312"/>
          <w:b w:val="0"/>
          <w:bCs/>
          <w:color w:val="000000"/>
          <w:sz w:val="32"/>
          <w:szCs w:val="32"/>
        </w:rPr>
        <w:t>反映行政单位（包括实行公务员管理的事业单位）的基本支出</w:t>
      </w:r>
      <w:r>
        <w:rPr>
          <w:rStyle w:val="35"/>
          <w:rFonts w:eastAsia="仿宋_GB2312"/>
          <w:b w:val="0"/>
          <w:bCs/>
          <w:color w:val="000000"/>
          <w:sz w:val="32"/>
          <w:szCs w:val="32"/>
        </w:rPr>
        <w:t>。</w:t>
      </w:r>
    </w:p>
    <w:p w14:paraId="644DC02B">
      <w:pPr>
        <w:spacing w:line="560" w:lineRule="exact"/>
        <w:ind w:firstLine="640" w:firstLineChars="200"/>
        <w:rPr>
          <w:rFonts w:eastAsia="仿宋_GB2312" w:cs="仿宋_GB2312"/>
          <w:sz w:val="32"/>
          <w:szCs w:val="32"/>
        </w:rPr>
      </w:pPr>
      <w:r>
        <w:rPr>
          <w:rStyle w:val="35"/>
          <w:rFonts w:eastAsia="仿宋_GB2312"/>
          <w:b w:val="0"/>
          <w:bCs/>
          <w:color w:val="000000"/>
          <w:sz w:val="32"/>
          <w:szCs w:val="32"/>
        </w:rPr>
        <w:t>1</w:t>
      </w:r>
      <w:r>
        <w:rPr>
          <w:rStyle w:val="35"/>
          <w:rFonts w:hint="eastAsia" w:eastAsia="仿宋_GB2312"/>
          <w:b w:val="0"/>
          <w:bCs/>
          <w:color w:val="000000"/>
          <w:sz w:val="32"/>
          <w:szCs w:val="32"/>
          <w:lang w:val="en-US" w:eastAsia="zh-CN"/>
        </w:rPr>
        <w:t>0</w:t>
      </w:r>
      <w:r>
        <w:rPr>
          <w:rStyle w:val="35"/>
          <w:rFonts w:eastAsia="仿宋_GB2312"/>
          <w:b w:val="0"/>
          <w:bCs/>
          <w:color w:val="000000"/>
          <w:sz w:val="32"/>
          <w:szCs w:val="32"/>
        </w:rPr>
        <w:t>.</w:t>
      </w:r>
      <w:r>
        <w:rPr>
          <w:rFonts w:eastAsia="仿宋_GB2312"/>
          <w:color w:val="000000"/>
          <w:sz w:val="32"/>
          <w:szCs w:val="32"/>
        </w:rPr>
        <w:t>住房保障支出</w:t>
      </w:r>
      <w:r>
        <w:rPr>
          <w:rStyle w:val="35"/>
          <w:rFonts w:eastAsia="仿宋_GB2312"/>
          <w:b w:val="0"/>
          <w:bCs/>
          <w:color w:val="000000"/>
          <w:sz w:val="32"/>
          <w:szCs w:val="32"/>
        </w:rPr>
        <w:t>（类）住房改革支出（款）住房公积金（项）：指反映行政事业单位按人力资源和社会保障部、财政部规定的基本工资和津贴补贴以及规定比例为职工缴纳的住房公积金。</w:t>
      </w:r>
    </w:p>
    <w:p w14:paraId="2C26D262">
      <w:pPr>
        <w:spacing w:line="600" w:lineRule="exact"/>
        <w:ind w:firstLine="640"/>
        <w:rPr>
          <w:rFonts w:eastAsia="仿宋_GB2312" w:cs="仿宋_GB2312"/>
          <w:sz w:val="32"/>
          <w:szCs w:val="32"/>
        </w:rPr>
      </w:pPr>
      <w:r>
        <w:rPr>
          <w:rFonts w:hint="eastAsia" w:eastAsia="仿宋_GB2312" w:cs="仿宋_GB2312"/>
          <w:sz w:val="32"/>
          <w:szCs w:val="32"/>
          <w:lang w:val="en-US" w:eastAsia="zh-CN"/>
        </w:rPr>
        <w:t>11</w:t>
      </w:r>
      <w:r>
        <w:rPr>
          <w:rFonts w:hint="eastAsia" w:eastAsia="仿宋_GB2312" w:cs="仿宋_GB2312"/>
          <w:sz w:val="32"/>
          <w:szCs w:val="32"/>
        </w:rPr>
        <w:t>.基本支出：指为保障机构正常运转、完成日常工作任务而发生的人员支出和公用支出。</w:t>
      </w:r>
    </w:p>
    <w:p w14:paraId="1EC19FBF">
      <w:pPr>
        <w:spacing w:line="600" w:lineRule="exact"/>
        <w:ind w:firstLine="640"/>
        <w:rPr>
          <w:rFonts w:eastAsia="仿宋_GB2312" w:cs="仿宋_GB2312"/>
          <w:sz w:val="32"/>
          <w:szCs w:val="32"/>
        </w:rPr>
      </w:pPr>
      <w:r>
        <w:rPr>
          <w:rFonts w:hint="eastAsia" w:eastAsia="仿宋_GB2312" w:cs="仿宋_GB2312"/>
          <w:sz w:val="32"/>
          <w:szCs w:val="32"/>
          <w:lang w:val="en-US" w:eastAsia="zh-CN"/>
        </w:rPr>
        <w:t>12</w:t>
      </w:r>
      <w:r>
        <w:rPr>
          <w:rFonts w:hint="eastAsia" w:eastAsia="仿宋_GB2312" w:cs="仿宋_GB2312"/>
          <w:sz w:val="32"/>
          <w:szCs w:val="32"/>
        </w:rPr>
        <w:t xml:space="preserve">.项目支出：指在基本支出之外为完成特定行政任务和事业发展目标所发生的支出。 </w:t>
      </w:r>
    </w:p>
    <w:p w14:paraId="0C11B13B">
      <w:pPr>
        <w:spacing w:line="600" w:lineRule="exact"/>
        <w:ind w:firstLine="640"/>
        <w:rPr>
          <w:rFonts w:eastAsia="仿宋_GB2312" w:cs="仿宋_GB2312"/>
          <w:sz w:val="32"/>
          <w:szCs w:val="32"/>
        </w:rPr>
      </w:pPr>
      <w:r>
        <w:rPr>
          <w:rFonts w:hint="eastAsia" w:eastAsia="仿宋_GB2312" w:cs="仿宋_GB2312"/>
          <w:sz w:val="32"/>
          <w:szCs w:val="32"/>
          <w:lang w:val="en-US" w:eastAsia="zh-CN"/>
        </w:rPr>
        <w:t>13</w:t>
      </w:r>
      <w:r>
        <w:rPr>
          <w:rFonts w:hint="eastAsia"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BA6A6B8">
      <w:pPr>
        <w:spacing w:line="600" w:lineRule="exact"/>
        <w:ind w:firstLine="640"/>
        <w:rPr>
          <w:rFonts w:eastAsia="仿宋_GB2312" w:cs="仿宋_GB2312"/>
          <w:sz w:val="32"/>
          <w:szCs w:val="32"/>
        </w:rPr>
      </w:pPr>
      <w:r>
        <w:rPr>
          <w:rFonts w:hint="eastAsia" w:eastAsia="仿宋_GB2312" w:cs="仿宋_GB2312"/>
          <w:sz w:val="32"/>
          <w:szCs w:val="32"/>
          <w:lang w:val="en-US" w:eastAsia="zh-CN"/>
        </w:rPr>
        <w:t>14</w:t>
      </w:r>
      <w:r>
        <w:rPr>
          <w:rFonts w:hint="eastAsia"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3880E9">
      <w:pPr>
        <w:spacing w:line="600" w:lineRule="exact"/>
        <w:jc w:val="center"/>
        <w:rPr>
          <w:rStyle w:val="28"/>
          <w:rFonts w:eastAsia="黑体"/>
          <w:b w:val="0"/>
        </w:rPr>
      </w:pPr>
      <w:bookmarkStart w:id="51" w:name="_Toc15377226"/>
      <w:r>
        <w:rPr>
          <w:rFonts w:hint="eastAsia" w:eastAsia="仿宋_GB2312" w:cs="仿宋_GB2312"/>
          <w:sz w:val="32"/>
          <w:szCs w:val="32"/>
        </w:rPr>
        <w:br w:type="page"/>
      </w:r>
      <w:bookmarkStart w:id="52" w:name="_Toc15396614"/>
      <w:r>
        <w:rPr>
          <w:rFonts w:hint="eastAsia" w:eastAsia="黑体"/>
          <w:sz w:val="44"/>
          <w:szCs w:val="44"/>
        </w:rPr>
        <w:t>第四部分  附件</w:t>
      </w:r>
      <w:bookmarkEnd w:id="52"/>
    </w:p>
    <w:p w14:paraId="2F0E9183">
      <w:pPr>
        <w:spacing w:line="572" w:lineRule="exact"/>
        <w:jc w:val="left"/>
        <w:outlineLvl w:val="0"/>
        <w:rPr>
          <w:rFonts w:eastAsia="黑体" w:cs="黑体"/>
          <w:color w:val="FF0000"/>
          <w:sz w:val="32"/>
          <w:szCs w:val="32"/>
        </w:rPr>
      </w:pPr>
    </w:p>
    <w:p w14:paraId="6DE705C2">
      <w:pPr>
        <w:pStyle w:val="2"/>
        <w:ind w:firstLine="640" w:firstLineChars="200"/>
        <w:rPr>
          <w:rFonts w:hint="default" w:ascii="Times New Roman" w:hAnsi="Times New Roman" w:eastAsia="黑体" w:cs="Times New Roman"/>
          <w:color w:val="auto"/>
          <w:lang w:val="en-US" w:eastAsia="zh-CN"/>
        </w:rPr>
      </w:pPr>
      <w:r>
        <w:rPr>
          <w:rFonts w:hint="eastAsia" w:ascii="仿宋_GB2312" w:hAnsi="仿宋_GB2312" w:eastAsia="仿宋_GB2312" w:cs="仿宋_GB2312"/>
          <w:color w:val="auto"/>
          <w:sz w:val="32"/>
          <w:szCs w:val="32"/>
          <w:lang w:val="en-US" w:eastAsia="zh-CN"/>
        </w:rPr>
        <w:t>部门预算项目支出绩效自评表</w:t>
      </w:r>
      <w:r>
        <w:rPr>
          <w:rFonts w:hint="eastAsia" w:hAnsi="仿宋_GB2312" w:cs="仿宋_GB2312"/>
          <w:color w:val="auto"/>
          <w:sz w:val="32"/>
          <w:szCs w:val="32"/>
          <w:lang w:val="en-US" w:eastAsia="zh-CN"/>
        </w:rPr>
        <w:t>（2024年度）</w:t>
      </w:r>
      <w:r>
        <w:rPr>
          <w:rFonts w:hint="eastAsia" w:ascii="仿宋_GB2312" w:hAnsi="仿宋_GB2312" w:eastAsia="仿宋_GB2312" w:cs="仿宋_GB2312"/>
          <w:color w:val="auto"/>
          <w:sz w:val="32"/>
          <w:szCs w:val="32"/>
          <w:lang w:val="en-US" w:eastAsia="zh-CN"/>
        </w:rPr>
        <w:t>见附件</w:t>
      </w:r>
      <w:r>
        <w:rPr>
          <w:rFonts w:hint="default" w:ascii="Times New Roman" w:hAnsi="Times New Roman" w:eastAsia="仿宋_GB2312" w:cs="Times New Roman"/>
          <w:color w:val="auto"/>
          <w:sz w:val="32"/>
          <w:szCs w:val="32"/>
          <w:lang w:val="en-US" w:eastAsia="zh-CN"/>
        </w:rPr>
        <w:t>3</w:t>
      </w:r>
      <w:r>
        <w:rPr>
          <w:rFonts w:hint="eastAsia" w:ascii="Times New Roman" w:cs="Times New Roman"/>
          <w:color w:val="auto"/>
          <w:sz w:val="32"/>
          <w:szCs w:val="32"/>
          <w:lang w:val="en-US" w:eastAsia="zh-CN"/>
        </w:rPr>
        <w:t>。</w:t>
      </w:r>
    </w:p>
    <w:p w14:paraId="073173D2">
      <w:pPr>
        <w:widowControl/>
        <w:jc w:val="center"/>
        <w:rPr>
          <w:rFonts w:hint="eastAsia" w:eastAsia="黑体"/>
          <w:sz w:val="44"/>
          <w:szCs w:val="44"/>
        </w:rPr>
      </w:pPr>
      <w:bookmarkStart w:id="53" w:name="_Toc15396618"/>
    </w:p>
    <w:p w14:paraId="2B2856E0">
      <w:pPr>
        <w:widowControl/>
        <w:jc w:val="center"/>
        <w:rPr>
          <w:rFonts w:hint="eastAsia" w:eastAsia="黑体"/>
          <w:sz w:val="44"/>
          <w:szCs w:val="44"/>
        </w:rPr>
      </w:pPr>
    </w:p>
    <w:p w14:paraId="79ABF183">
      <w:pPr>
        <w:widowControl/>
        <w:jc w:val="center"/>
        <w:rPr>
          <w:rFonts w:hint="eastAsia" w:eastAsia="黑体"/>
          <w:sz w:val="44"/>
          <w:szCs w:val="44"/>
        </w:rPr>
      </w:pPr>
    </w:p>
    <w:p w14:paraId="39631D84">
      <w:pPr>
        <w:widowControl/>
        <w:jc w:val="center"/>
        <w:rPr>
          <w:rFonts w:hint="eastAsia" w:eastAsia="黑体"/>
          <w:sz w:val="44"/>
          <w:szCs w:val="44"/>
        </w:rPr>
      </w:pPr>
    </w:p>
    <w:p w14:paraId="39939873">
      <w:pPr>
        <w:widowControl/>
        <w:jc w:val="center"/>
        <w:rPr>
          <w:rFonts w:hint="eastAsia" w:eastAsia="黑体"/>
          <w:sz w:val="44"/>
          <w:szCs w:val="44"/>
        </w:rPr>
      </w:pPr>
    </w:p>
    <w:p w14:paraId="55870290">
      <w:pPr>
        <w:widowControl/>
        <w:jc w:val="center"/>
        <w:rPr>
          <w:rFonts w:hint="eastAsia" w:eastAsia="黑体"/>
          <w:sz w:val="44"/>
          <w:szCs w:val="44"/>
        </w:rPr>
      </w:pPr>
    </w:p>
    <w:p w14:paraId="473C32CB">
      <w:pPr>
        <w:widowControl/>
        <w:jc w:val="center"/>
        <w:rPr>
          <w:rFonts w:hint="eastAsia" w:eastAsia="黑体"/>
          <w:sz w:val="44"/>
          <w:szCs w:val="44"/>
        </w:rPr>
      </w:pPr>
    </w:p>
    <w:p w14:paraId="1E3B536F">
      <w:pPr>
        <w:widowControl/>
        <w:jc w:val="center"/>
        <w:rPr>
          <w:rFonts w:hint="eastAsia" w:eastAsia="黑体"/>
          <w:sz w:val="44"/>
          <w:szCs w:val="44"/>
        </w:rPr>
      </w:pPr>
    </w:p>
    <w:p w14:paraId="033B669C">
      <w:pPr>
        <w:widowControl/>
        <w:jc w:val="center"/>
        <w:rPr>
          <w:rFonts w:hint="eastAsia" w:eastAsia="黑体"/>
          <w:sz w:val="44"/>
          <w:szCs w:val="44"/>
        </w:rPr>
      </w:pPr>
    </w:p>
    <w:p w14:paraId="3BB9DCFA">
      <w:pPr>
        <w:widowControl/>
        <w:jc w:val="center"/>
        <w:rPr>
          <w:rFonts w:hint="eastAsia" w:eastAsia="黑体"/>
          <w:sz w:val="44"/>
          <w:szCs w:val="44"/>
        </w:rPr>
      </w:pPr>
    </w:p>
    <w:p w14:paraId="2F0C4BE0">
      <w:pPr>
        <w:widowControl/>
        <w:jc w:val="center"/>
        <w:rPr>
          <w:rFonts w:hint="eastAsia" w:eastAsia="黑体"/>
          <w:sz w:val="44"/>
          <w:szCs w:val="44"/>
        </w:rPr>
      </w:pPr>
    </w:p>
    <w:p w14:paraId="63021C02">
      <w:pPr>
        <w:widowControl/>
        <w:jc w:val="center"/>
        <w:rPr>
          <w:rFonts w:hint="eastAsia" w:eastAsia="黑体"/>
          <w:sz w:val="44"/>
          <w:szCs w:val="44"/>
        </w:rPr>
      </w:pPr>
    </w:p>
    <w:p w14:paraId="7EF749D6">
      <w:pPr>
        <w:widowControl/>
        <w:jc w:val="center"/>
        <w:rPr>
          <w:rFonts w:hint="eastAsia" w:eastAsia="黑体"/>
          <w:sz w:val="44"/>
          <w:szCs w:val="44"/>
        </w:rPr>
      </w:pPr>
    </w:p>
    <w:p w14:paraId="487D5725">
      <w:pPr>
        <w:widowControl/>
        <w:jc w:val="center"/>
        <w:rPr>
          <w:rFonts w:hint="eastAsia" w:eastAsia="黑体"/>
          <w:sz w:val="44"/>
          <w:szCs w:val="44"/>
        </w:rPr>
      </w:pPr>
    </w:p>
    <w:p w14:paraId="346D5098">
      <w:pPr>
        <w:widowControl/>
        <w:jc w:val="center"/>
        <w:rPr>
          <w:rFonts w:hint="eastAsia" w:eastAsia="黑体"/>
          <w:sz w:val="44"/>
          <w:szCs w:val="44"/>
        </w:rPr>
      </w:pPr>
    </w:p>
    <w:p w14:paraId="098A0D7E">
      <w:pPr>
        <w:widowControl/>
        <w:jc w:val="center"/>
        <w:rPr>
          <w:rFonts w:hint="eastAsia" w:eastAsia="黑体"/>
          <w:sz w:val="44"/>
          <w:szCs w:val="44"/>
        </w:rPr>
      </w:pPr>
    </w:p>
    <w:p w14:paraId="619F0AB5">
      <w:pPr>
        <w:widowControl/>
        <w:jc w:val="center"/>
        <w:rPr>
          <w:rFonts w:hint="eastAsia" w:eastAsia="黑体"/>
          <w:sz w:val="44"/>
          <w:szCs w:val="44"/>
        </w:rPr>
      </w:pPr>
    </w:p>
    <w:p w14:paraId="38CE7FA3">
      <w:pPr>
        <w:widowControl/>
        <w:jc w:val="center"/>
        <w:rPr>
          <w:rFonts w:hint="eastAsia" w:eastAsia="黑体"/>
          <w:sz w:val="44"/>
          <w:szCs w:val="44"/>
        </w:rPr>
      </w:pPr>
    </w:p>
    <w:p w14:paraId="13292557">
      <w:pPr>
        <w:widowControl/>
        <w:jc w:val="center"/>
        <w:rPr>
          <w:rFonts w:hint="eastAsia" w:eastAsia="黑体"/>
          <w:sz w:val="44"/>
          <w:szCs w:val="44"/>
        </w:rPr>
      </w:pPr>
    </w:p>
    <w:p w14:paraId="5CF15869">
      <w:pPr>
        <w:widowControl/>
        <w:jc w:val="center"/>
        <w:rPr>
          <w:rFonts w:hint="eastAsia" w:eastAsia="黑体"/>
          <w:sz w:val="44"/>
          <w:szCs w:val="44"/>
        </w:rPr>
      </w:pPr>
    </w:p>
    <w:p w14:paraId="43F5998C">
      <w:pPr>
        <w:widowControl/>
        <w:jc w:val="center"/>
        <w:rPr>
          <w:rFonts w:eastAsia="仿宋"/>
        </w:rPr>
      </w:pPr>
      <w:r>
        <w:rPr>
          <w:rFonts w:hint="eastAsia" w:eastAsia="黑体"/>
          <w:sz w:val="44"/>
          <w:szCs w:val="44"/>
        </w:rPr>
        <w:t>第</w:t>
      </w:r>
      <w:r>
        <w:rPr>
          <w:rStyle w:val="28"/>
          <w:rFonts w:hint="eastAsia" w:eastAsia="黑体"/>
          <w:b w:val="0"/>
        </w:rPr>
        <w:t>五部分 附表</w:t>
      </w:r>
      <w:bookmarkEnd w:id="51"/>
      <w:bookmarkEnd w:id="53"/>
      <w:bookmarkStart w:id="54" w:name="_Toc15396619"/>
    </w:p>
    <w:p w14:paraId="0AB559B7">
      <w:pPr>
        <w:pStyle w:val="14"/>
        <w:adjustRightInd w:val="0"/>
        <w:snapToGrid w:val="0"/>
        <w:spacing w:line="560" w:lineRule="exact"/>
        <w:jc w:val="left"/>
        <w:rPr>
          <w:rFonts w:eastAsia="仿宋_GB2312" w:cs="仿宋_GB2312"/>
          <w:sz w:val="32"/>
          <w:szCs w:val="32"/>
        </w:rPr>
      </w:pPr>
    </w:p>
    <w:p w14:paraId="245A1395">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54"/>
    </w:p>
    <w:p w14:paraId="61E1A9B5">
      <w:pPr>
        <w:pStyle w:val="14"/>
        <w:adjustRightInd w:val="0"/>
        <w:snapToGrid w:val="0"/>
        <w:spacing w:line="560" w:lineRule="exact"/>
        <w:jc w:val="left"/>
        <w:rPr>
          <w:rFonts w:eastAsia="仿宋_GB2312" w:cs="仿宋_GB2312"/>
          <w:sz w:val="32"/>
          <w:szCs w:val="32"/>
        </w:rPr>
      </w:pPr>
      <w:bookmarkStart w:id="55" w:name="_Toc15396620"/>
      <w:r>
        <w:rPr>
          <w:rFonts w:hint="eastAsia" w:eastAsia="仿宋_GB2312" w:cs="仿宋_GB2312"/>
          <w:sz w:val="32"/>
          <w:szCs w:val="32"/>
        </w:rPr>
        <w:t>二、收入决算表</w:t>
      </w:r>
      <w:bookmarkEnd w:id="55"/>
    </w:p>
    <w:p w14:paraId="11AE33FD">
      <w:pPr>
        <w:pStyle w:val="14"/>
        <w:adjustRightInd w:val="0"/>
        <w:snapToGrid w:val="0"/>
        <w:spacing w:line="560" w:lineRule="exact"/>
        <w:jc w:val="left"/>
        <w:rPr>
          <w:rFonts w:eastAsia="仿宋_GB2312" w:cs="仿宋_GB2312"/>
          <w:sz w:val="32"/>
          <w:szCs w:val="32"/>
        </w:rPr>
      </w:pPr>
      <w:bookmarkStart w:id="56" w:name="_Toc15396621"/>
      <w:r>
        <w:rPr>
          <w:rFonts w:hint="eastAsia" w:eastAsia="仿宋_GB2312" w:cs="仿宋_GB2312"/>
          <w:sz w:val="32"/>
          <w:szCs w:val="32"/>
        </w:rPr>
        <w:t>三、支出决算表</w:t>
      </w:r>
      <w:bookmarkEnd w:id="56"/>
    </w:p>
    <w:p w14:paraId="6E82D930">
      <w:pPr>
        <w:pStyle w:val="14"/>
        <w:adjustRightInd w:val="0"/>
        <w:snapToGrid w:val="0"/>
        <w:spacing w:line="560" w:lineRule="exact"/>
        <w:jc w:val="left"/>
        <w:rPr>
          <w:rFonts w:eastAsia="仿宋_GB2312" w:cs="仿宋_GB2312"/>
          <w:sz w:val="32"/>
          <w:szCs w:val="32"/>
        </w:rPr>
      </w:pPr>
      <w:bookmarkStart w:id="57" w:name="_Toc15396622"/>
      <w:r>
        <w:rPr>
          <w:rFonts w:hint="eastAsia" w:eastAsia="仿宋_GB2312" w:cs="仿宋_GB2312"/>
          <w:sz w:val="32"/>
          <w:szCs w:val="32"/>
        </w:rPr>
        <w:t>四、财政拨款收入支出决算总表</w:t>
      </w:r>
      <w:bookmarkEnd w:id="57"/>
    </w:p>
    <w:p w14:paraId="508A4373">
      <w:pPr>
        <w:pStyle w:val="14"/>
        <w:adjustRightInd w:val="0"/>
        <w:snapToGrid w:val="0"/>
        <w:spacing w:line="560" w:lineRule="exact"/>
        <w:jc w:val="left"/>
        <w:rPr>
          <w:rFonts w:eastAsia="仿宋_GB2312" w:cs="仿宋_GB2312"/>
          <w:sz w:val="32"/>
          <w:szCs w:val="32"/>
        </w:rPr>
      </w:pPr>
      <w:bookmarkStart w:id="58" w:name="_Toc15396623"/>
      <w:r>
        <w:rPr>
          <w:rFonts w:hint="eastAsia" w:eastAsia="仿宋_GB2312" w:cs="仿宋_GB2312"/>
          <w:sz w:val="32"/>
          <w:szCs w:val="32"/>
        </w:rPr>
        <w:t>五、财政拨款支出决算明细表</w:t>
      </w:r>
      <w:bookmarkEnd w:id="58"/>
      <w:bookmarkStart w:id="59" w:name="_Toc15396624"/>
    </w:p>
    <w:p w14:paraId="6E7C82AA">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9"/>
    </w:p>
    <w:p w14:paraId="539A2761">
      <w:pPr>
        <w:pStyle w:val="14"/>
        <w:adjustRightInd w:val="0"/>
        <w:snapToGrid w:val="0"/>
        <w:spacing w:line="560" w:lineRule="exact"/>
        <w:jc w:val="left"/>
        <w:rPr>
          <w:rFonts w:eastAsia="仿宋_GB2312" w:cs="仿宋_GB2312"/>
          <w:sz w:val="32"/>
          <w:szCs w:val="32"/>
        </w:rPr>
      </w:pPr>
      <w:bookmarkStart w:id="60" w:name="_Toc15396625"/>
      <w:r>
        <w:rPr>
          <w:rFonts w:hint="eastAsia" w:eastAsia="仿宋_GB2312" w:cs="仿宋_GB2312"/>
          <w:sz w:val="32"/>
          <w:szCs w:val="32"/>
        </w:rPr>
        <w:t>七、一般公共预算财政拨款支出决算明细表</w:t>
      </w:r>
      <w:bookmarkEnd w:id="60"/>
    </w:p>
    <w:p w14:paraId="761D6B20">
      <w:pPr>
        <w:pStyle w:val="14"/>
        <w:adjustRightInd w:val="0"/>
        <w:snapToGrid w:val="0"/>
        <w:spacing w:line="560" w:lineRule="exact"/>
        <w:jc w:val="left"/>
        <w:rPr>
          <w:rFonts w:eastAsia="仿宋_GB2312" w:cs="仿宋_GB2312"/>
          <w:sz w:val="32"/>
          <w:szCs w:val="32"/>
        </w:rPr>
      </w:pPr>
      <w:bookmarkStart w:id="61" w:name="_Toc15396626"/>
      <w:r>
        <w:rPr>
          <w:rFonts w:hint="eastAsia" w:eastAsia="仿宋_GB2312" w:cs="仿宋_GB2312"/>
          <w:sz w:val="32"/>
          <w:szCs w:val="32"/>
        </w:rPr>
        <w:t>八、一般公共预算财政拨款基本支出决算表</w:t>
      </w:r>
      <w:bookmarkEnd w:id="61"/>
    </w:p>
    <w:p w14:paraId="26425214">
      <w:pPr>
        <w:pStyle w:val="14"/>
        <w:adjustRightInd w:val="0"/>
        <w:snapToGrid w:val="0"/>
        <w:spacing w:line="560" w:lineRule="exact"/>
        <w:jc w:val="left"/>
        <w:rPr>
          <w:rFonts w:eastAsia="仿宋_GB2312" w:cs="仿宋_GB2312"/>
          <w:sz w:val="32"/>
          <w:szCs w:val="32"/>
        </w:rPr>
      </w:pPr>
      <w:bookmarkStart w:id="62" w:name="_Toc15396627"/>
      <w:r>
        <w:rPr>
          <w:rFonts w:hint="eastAsia" w:eastAsia="仿宋_GB2312" w:cs="仿宋_GB2312"/>
          <w:sz w:val="32"/>
          <w:szCs w:val="32"/>
        </w:rPr>
        <w:t>九、一般公共预算财政拨款项目支出决算表</w:t>
      </w:r>
      <w:bookmarkEnd w:id="62"/>
    </w:p>
    <w:p w14:paraId="44D6D050">
      <w:pPr>
        <w:pStyle w:val="14"/>
        <w:adjustRightInd w:val="0"/>
        <w:snapToGrid w:val="0"/>
        <w:spacing w:line="560" w:lineRule="exact"/>
        <w:jc w:val="left"/>
        <w:rPr>
          <w:rFonts w:eastAsia="仿宋_GB2312" w:cs="仿宋_GB2312"/>
          <w:sz w:val="32"/>
          <w:szCs w:val="32"/>
        </w:rPr>
      </w:pPr>
      <w:bookmarkStart w:id="63" w:name="_Toc15396628"/>
      <w:r>
        <w:rPr>
          <w:rFonts w:hint="eastAsia" w:eastAsia="仿宋_GB2312" w:cs="仿宋_GB2312"/>
          <w:sz w:val="32"/>
          <w:szCs w:val="32"/>
        </w:rPr>
        <w:t>十、</w:t>
      </w:r>
      <w:bookmarkEnd w:id="63"/>
      <w:r>
        <w:rPr>
          <w:rFonts w:hint="eastAsia" w:eastAsia="仿宋_GB2312" w:cs="仿宋_GB2312"/>
          <w:sz w:val="32"/>
          <w:szCs w:val="32"/>
        </w:rPr>
        <w:t>政府性基金预算财政拨款收入支出决算表</w:t>
      </w:r>
    </w:p>
    <w:p w14:paraId="7B5579CA">
      <w:pPr>
        <w:pStyle w:val="14"/>
        <w:adjustRightInd w:val="0"/>
        <w:snapToGrid w:val="0"/>
        <w:spacing w:line="560" w:lineRule="exact"/>
        <w:jc w:val="left"/>
        <w:rPr>
          <w:rFonts w:eastAsia="仿宋_GB2312" w:cs="仿宋_GB2312"/>
          <w:sz w:val="32"/>
          <w:szCs w:val="32"/>
        </w:rPr>
      </w:pPr>
      <w:bookmarkStart w:id="64" w:name="_Toc15396629"/>
      <w:r>
        <w:rPr>
          <w:rFonts w:hint="eastAsia" w:eastAsia="仿宋_GB2312" w:cs="仿宋_GB2312"/>
          <w:sz w:val="32"/>
          <w:szCs w:val="32"/>
        </w:rPr>
        <w:t>十一、</w:t>
      </w:r>
      <w:bookmarkEnd w:id="64"/>
      <w:r>
        <w:rPr>
          <w:rFonts w:hint="eastAsia" w:eastAsia="仿宋_GB2312" w:cs="仿宋_GB2312"/>
          <w:sz w:val="32"/>
          <w:szCs w:val="32"/>
        </w:rPr>
        <w:t>国有资本经营预算财政拨款收入支出决算表</w:t>
      </w:r>
    </w:p>
    <w:p w14:paraId="1D474A81">
      <w:pPr>
        <w:pStyle w:val="14"/>
        <w:adjustRightInd w:val="0"/>
        <w:snapToGrid w:val="0"/>
        <w:spacing w:line="560" w:lineRule="exact"/>
        <w:jc w:val="left"/>
        <w:rPr>
          <w:rFonts w:eastAsia="仿宋_GB2312" w:cs="仿宋_GB2312"/>
          <w:sz w:val="32"/>
          <w:szCs w:val="32"/>
        </w:rPr>
      </w:pPr>
      <w:bookmarkStart w:id="65" w:name="_Toc15396630"/>
      <w:r>
        <w:rPr>
          <w:rFonts w:hint="eastAsia" w:eastAsia="仿宋_GB2312" w:cs="仿宋_GB2312"/>
          <w:sz w:val="32"/>
          <w:szCs w:val="32"/>
        </w:rPr>
        <w:t>十二、</w:t>
      </w:r>
      <w:bookmarkEnd w:id="65"/>
      <w:r>
        <w:rPr>
          <w:rFonts w:hint="eastAsia" w:eastAsia="仿宋_GB2312" w:cs="仿宋_GB2312"/>
          <w:sz w:val="32"/>
          <w:szCs w:val="32"/>
        </w:rPr>
        <w:t>国有资本经营预算财政拨款支出决算表</w:t>
      </w:r>
    </w:p>
    <w:p w14:paraId="31C816CF">
      <w:pPr>
        <w:pStyle w:val="14"/>
        <w:adjustRightInd w:val="0"/>
        <w:snapToGrid w:val="0"/>
        <w:spacing w:line="560" w:lineRule="exact"/>
        <w:jc w:val="left"/>
        <w:rPr>
          <w:rFonts w:eastAsia="仿宋_GB2312" w:cs="仿宋_GB2312"/>
          <w:sz w:val="32"/>
          <w:szCs w:val="32"/>
        </w:rPr>
      </w:pPr>
      <w:bookmarkStart w:id="66" w:name="_Toc15396631"/>
      <w:r>
        <w:rPr>
          <w:rFonts w:hint="eastAsia" w:eastAsia="仿宋_GB2312" w:cs="仿宋_GB2312"/>
          <w:sz w:val="32"/>
          <w:szCs w:val="32"/>
        </w:rPr>
        <w:t>十三、</w:t>
      </w:r>
      <w:bookmarkEnd w:id="66"/>
      <w:r>
        <w:rPr>
          <w:rFonts w:hint="eastAsia" w:eastAsia="仿宋_GB2312" w:cs="仿宋_GB2312"/>
          <w:sz w:val="32"/>
          <w:szCs w:val="32"/>
        </w:rPr>
        <w:t>财政拨款“三公”经费支出决算表</w:t>
      </w:r>
    </w:p>
    <w:p w14:paraId="24BE8ED0"/>
    <w:sectPr>
      <w:footerReference r:id="rId9" w:type="first"/>
      <w:footerReference r:id="rId8"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BBDE">
    <w:pPr>
      <w:pStyle w:val="10"/>
      <w:jc w:val="center"/>
    </w:pPr>
  </w:p>
  <w:p w14:paraId="32C857DE">
    <w:pPr>
      <w:pStyle w:val="10"/>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BAE8">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E7A4">
    <w:pPr>
      <w:pStyle w:val="10"/>
      <w:jc w:val="center"/>
      <w:rPr>
        <w:rFonts w:hint="default" w:ascii="Times New Roman" w:hAnsi="Times New Roman" w:cs="Times New Roman"/>
      </w:rPr>
    </w:pPr>
    <w:r>
      <w:rPr>
        <w:sz w:val="18"/>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7C28AB1">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p>
  <w:p w14:paraId="46B0A3FE">
    <w:pPr>
      <w:pStyle w:val="10"/>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91FCB">
    <w:pPr>
      <w:pStyle w:val="10"/>
      <w:jc w:val="center"/>
    </w:pPr>
    <w:r>
      <w:rPr>
        <w:sz w:val="18"/>
      </w:rP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17A0F55">
                <w:pPr>
                  <w:pStyle w:val="10"/>
                </w:pPr>
                <w:r>
                  <w:rPr>
                    <w:sz w:val="30"/>
                    <w:szCs w:val="30"/>
                  </w:rPr>
                  <w:fldChar w:fldCharType="begin"/>
                </w:r>
                <w:r>
                  <w:rPr>
                    <w:sz w:val="30"/>
                    <w:szCs w:val="30"/>
                  </w:rPr>
                  <w:instrText xml:space="preserve"> PAGE  \* MERGEFORMAT </w:instrText>
                </w:r>
                <w:r>
                  <w:rPr>
                    <w:sz w:val="30"/>
                    <w:szCs w:val="30"/>
                  </w:rPr>
                  <w:fldChar w:fldCharType="separate"/>
                </w:r>
                <w:r>
                  <w:rPr>
                    <w:sz w:val="30"/>
                    <w:szCs w:val="30"/>
                  </w:rPr>
                  <w:t>4</w:t>
                </w:r>
                <w:r>
                  <w:rPr>
                    <w:sz w:val="30"/>
                    <w:szCs w:val="30"/>
                  </w:rPr>
                  <w:fldChar w:fldCharType="end"/>
                </w:r>
              </w:p>
            </w:txbxContent>
          </v:textbox>
        </v:shape>
      </w:pict>
    </w:r>
  </w:p>
  <w:p w14:paraId="632FC007">
    <w:pPr>
      <w:pStyle w:val="10"/>
      <w:rPr>
        <w:rFonts w:hint="eastAsia" w:eastAsia="宋体"/>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0DFBA">
    <w:pPr>
      <w:pStyle w:val="10"/>
    </w:pPr>
    <w:r>
      <w:rPr>
        <w:sz w:val="18"/>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872863B">
                <w:pPr>
                  <w:pStyle w:val="10"/>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w:r>
  </w:p>
  <w:p w14:paraId="082FCEC1">
    <w:pPr>
      <w:pStyle w:val="10"/>
      <w:rPr>
        <w:rFonts w:hint="default" w:ascii="Times New Roman" w:hAnsi="Times New Roman" w:cs="Times New Roman"/>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2FD3F">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56B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2E52"/>
    <w:multiLevelType w:val="singleLevel"/>
    <w:tmpl w:val="90A22E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12B6"/>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3F8"/>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821725"/>
    <w:rsid w:val="02FEBE30"/>
    <w:rsid w:val="032A565D"/>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2787990"/>
    <w:rsid w:val="23860B96"/>
    <w:rsid w:val="240371BF"/>
    <w:rsid w:val="244F3473"/>
    <w:rsid w:val="24C97D99"/>
    <w:rsid w:val="25A718F0"/>
    <w:rsid w:val="25BB59F6"/>
    <w:rsid w:val="260F557C"/>
    <w:rsid w:val="26970054"/>
    <w:rsid w:val="281408E2"/>
    <w:rsid w:val="29FD04D3"/>
    <w:rsid w:val="2BFF7BC6"/>
    <w:rsid w:val="2C8A61B5"/>
    <w:rsid w:val="2D214A86"/>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0636E7A"/>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2E0310A"/>
    <w:rsid w:val="537E6D0A"/>
    <w:rsid w:val="53F74C96"/>
    <w:rsid w:val="54317E48"/>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A172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CD7D8C"/>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2759C5"/>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character" w:customStyle="1" w:styleId="35">
    <w:name w:val="15"/>
    <w:basedOn w:val="16"/>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4.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5.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a:t>
            </a:r>
            <a:r>
              <a:rPr lang="en-US" altLang="zh-CN"/>
              <a:t>1</a:t>
            </a:r>
            <a:r>
              <a:rPr altLang="en-US"/>
              <a:t>：收入、支出决算总计变动情况图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474.55</c:v>
                </c:pt>
                <c:pt idx="1">
                  <c:v>474.55</c:v>
                </c:pt>
              </c:numCache>
            </c:numRef>
          </c:val>
        </c:ser>
        <c:ser>
          <c:idx val="1"/>
          <c:order val="1"/>
          <c:tx>
            <c:strRef>
              <c:f>Sheet1!$C$1</c:f>
              <c:strCache>
                <c:ptCount val="1"/>
                <c:pt idx="0">
                  <c:v>2024年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596.53</c:v>
                </c:pt>
                <c:pt idx="1">
                  <c:v>596.53</c:v>
                </c:pt>
              </c:numCache>
            </c:numRef>
          </c:val>
        </c:ser>
        <c:dLbls>
          <c:showLegendKey val="0"/>
          <c:showVal val="1"/>
          <c:showCatName val="0"/>
          <c:showSerName val="0"/>
          <c:showPercent val="0"/>
          <c:showBubbleSize val="0"/>
        </c:dLbls>
        <c:gapWidth val="260"/>
        <c:overlap val="-32"/>
        <c:axId val="95908583"/>
        <c:axId val="73908282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5908583"/>
        <c:scaling>
          <c:orientation val="minMax"/>
        </c:scaling>
        <c:delete val="0"/>
        <c:axPos val="b"/>
        <c:numFmt formatCode="General" sourceLinked="1"/>
        <c:majorTickMark val="out"/>
        <c:minorTickMark val="none"/>
        <c:tickLblPos val="nextTo"/>
        <c:spPr>
          <a:noFill/>
          <a:ln w="6350" cap="flat" cmpd="sng" algn="ctr">
            <a:solidFill>
              <a:schemeClr val="accent1">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39082821"/>
        <c:crosses val="autoZero"/>
        <c:auto val="1"/>
        <c:lblAlgn val="ctr"/>
        <c:lblOffset val="100"/>
        <c:noMultiLvlLbl val="0"/>
      </c:catAx>
      <c:valAx>
        <c:axId val="739082821"/>
        <c:scaling>
          <c:orientation val="minMax"/>
        </c:scaling>
        <c:delete val="1"/>
        <c:axPos val="l"/>
        <c:majorGridlines>
          <c:spPr>
            <a:ln w="6350" cap="flat" cmpd="sng" algn="ctr">
              <a:solidFill>
                <a:schemeClr val="tx1">
                  <a:lumMod val="50000"/>
                  <a:lumOff val="50000"/>
                  <a:alpha val="25000"/>
                </a:schemeClr>
              </a:solidFill>
              <a:round/>
            </a:ln>
            <a:effectLst/>
          </c:spPr>
        </c:majorGridlines>
        <c:numFmt formatCode="General" sourceLinked="1"/>
        <c:majorTickMark val="out"/>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5908583"/>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b5d31457-2398-48c6-b3b6-ef20d7c89ea0}"/>
      </c:ext>
    </c:extLst>
  </c:chart>
  <c:spPr>
    <a:solidFill>
      <a:schemeClr val="bg1"/>
    </a:solidFill>
    <a:ln w="6350" cap="flat" cmpd="sng" algn="ctr">
      <a:solidFill>
        <a:schemeClr val="tx1">
          <a:lumMod val="50000"/>
          <a:lumOff val="50000"/>
          <a:alpha val="25000"/>
        </a:schemeClr>
      </a:solidFill>
      <a:round/>
    </a:ln>
    <a:effectLst/>
  </c:spPr>
  <c:txPr>
    <a:bodyPr/>
    <a:lstStyle/>
    <a:p>
      <a:pPr>
        <a:defRPr lang="zh-CN" sz="90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a:t>
            </a:r>
            <a:r>
              <a:rPr lang="en-US" altLang="zh-CN"/>
              <a:t>2</a:t>
            </a:r>
            <a:r>
              <a:rPr altLang="en-US"/>
              <a:t>：收入决算结构图</a:t>
            </a:r>
            <a:endParaRPr altLang="en-US"/>
          </a:p>
        </c:rich>
      </c:tx>
      <c:layout/>
      <c:overlay val="0"/>
      <c:spPr>
        <a:noFill/>
        <a:ln>
          <a:noFill/>
        </a:ln>
        <a:effectLst/>
      </c:spPr>
    </c:title>
    <c:autoTitleDeleted val="0"/>
    <c:plotArea>
      <c:layout/>
      <c:pieChart>
        <c:varyColors val="1"/>
        <c:ser>
          <c:idx val="1"/>
          <c:order val="0"/>
          <c:tx>
            <c:strRef>
              <c:f>Sheet1!$B$1</c:f>
              <c:strCache>
                <c:ptCount val="1"/>
                <c:pt idx="0">
                  <c:v>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c:formatCode>
                <c:ptCount val="8"/>
                <c:pt idx="0">
                  <c:v>1</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6761294998792"/>
          <c:y val="0.1391840203994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8ab3cdf0-f339-4667-88bf-6f6359837d4f}"/>
      </c:ext>
    </c:extLst>
  </c:chart>
  <c:spPr>
    <a:solidFill>
      <a:schemeClr val="bg1"/>
    </a:solidFill>
    <a:ln w="9525"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图3：支出决算结构图</a:t>
            </a:r>
          </a:p>
        </c:rich>
      </c:tx>
      <c:layout/>
      <c:overlay val="0"/>
      <c:spPr>
        <a:noFill/>
        <a:ln>
          <a:noFill/>
        </a:ln>
        <a:effectLst/>
      </c:spPr>
    </c:title>
    <c:autoTitleDeleted val="0"/>
    <c:plotArea>
      <c:layout>
        <c:manualLayout>
          <c:layoutTarget val="inner"/>
          <c:xMode val="edge"/>
          <c:yMode val="edge"/>
          <c:x val="0.304662962068132"/>
          <c:y val="0.255206119847004"/>
          <c:w val="0.394781348151727"/>
          <c:h val="0.69443263918402"/>
        </c:manualLayout>
      </c:layout>
      <c:pieChart>
        <c:varyColors val="1"/>
        <c:ser>
          <c:idx val="0"/>
          <c:order val="0"/>
          <c:tx>
            <c:strRef>
              <c:f>Sheet1!$B$1</c:f>
              <c:strCache>
                <c:ptCount val="1"/>
                <c:pt idx="0">
                  <c:v>支出数</c:v>
                </c:pt>
              </c:strCache>
            </c:strRef>
          </c:tx>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Lbls>
            <c:dLbl>
              <c:idx val="0"/>
              <c:layout>
                <c:manualLayout>
                  <c:x val="-0.0831331165232073"/>
                  <c:y val="0.21627450946038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基本支出29.52%</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项目支出70.47%</a:t>
                    </a:r>
                  </a:p>
                </c:rich>
              </c:tx>
              <c:dLblPos val="inEnd"/>
              <c:showLegendKey val="0"/>
              <c:showVal val="1"/>
              <c:showCatName val="1"/>
              <c:showSerName val="0"/>
              <c:showPercent val="1"/>
              <c:showBubbleSize val="0"/>
              <c:separator>
</c:separator>
              <c:extLst>
                <c:ext xmlns:c15="http://schemas.microsoft.com/office/drawing/2012/chart" uri="{CE6537A1-D6FC-4f65-9D91-7224C49458BB}"/>
              </c:extLst>
            </c:dLbl>
            <c:dLbl>
              <c:idx val="2"/>
              <c:layout>
                <c:manualLayout>
                  <c:x val="0.0624540772013744"/>
                  <c:y val="0.10912877177952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上缴上级支出0%</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3"/>
              <c:layout>
                <c:manualLayout>
                  <c:x val="-0.0765889999528787"/>
                  <c:y val="0.12315342116328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经营支出0%</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4"/>
              <c:layout>
                <c:manualLayout>
                  <c:x val="-7.07004780110573e-7"/>
                  <c:y val="0.27104972375541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对附属单位补助支出0%</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0.2952</c:v>
                </c:pt>
                <c:pt idx="1">
                  <c:v>0.7047</c:v>
                </c:pt>
                <c:pt idx="2" c:formatCode="0%">
                  <c:v>0</c:v>
                </c:pt>
                <c:pt idx="3" c:formatCode="0%">
                  <c:v>0</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672d733-4cd2-4924-9c35-c9bf674f158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a:t>
            </a:r>
            <a:r>
              <a:rPr lang="en-US" altLang="zh-CN"/>
              <a:t>4</a:t>
            </a:r>
            <a:r>
              <a:rPr altLang="en-US"/>
              <a:t>：财政拨款收、支决算总计变动情况</a:t>
            </a:r>
            <a:endParaRPr altLang="en-US"/>
          </a:p>
        </c:rich>
      </c:tx>
      <c:layout/>
      <c:overlay val="0"/>
      <c:spPr>
        <a:noFill/>
        <a:ln>
          <a:noFill/>
        </a:ln>
        <a:effectLst/>
      </c:spPr>
    </c:title>
    <c:autoTitleDeleted val="0"/>
    <c:plotArea>
      <c:layout>
        <c:manualLayout>
          <c:layoutTarget val="inner"/>
          <c:xMode val="edge"/>
          <c:yMode val="edge"/>
          <c:x val="0.0678424740275429"/>
          <c:y val="0.207182320441989"/>
          <c:w val="0.928533462188935"/>
          <c:h val="0.727666808329792"/>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439.22</c:v>
                </c:pt>
                <c:pt idx="1">
                  <c:v>439.22</c:v>
                </c:pt>
              </c:numCache>
            </c:numRef>
          </c:val>
        </c:ser>
        <c:ser>
          <c:idx val="1"/>
          <c:order val="1"/>
          <c:tx>
            <c:strRef>
              <c:f>Sheet1!$C$1</c:f>
              <c:strCache>
                <c:ptCount val="1"/>
                <c:pt idx="0">
                  <c:v>2024年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571.19</c:v>
                </c:pt>
                <c:pt idx="1">
                  <c:v>571.19</c:v>
                </c:pt>
              </c:numCache>
            </c:numRef>
          </c:val>
        </c:ser>
        <c:dLbls>
          <c:showLegendKey val="0"/>
          <c:showVal val="1"/>
          <c:showCatName val="0"/>
          <c:showSerName val="0"/>
          <c:showPercent val="0"/>
          <c:showBubbleSize val="0"/>
        </c:dLbls>
        <c:gapWidth val="150"/>
        <c:overlap val="0"/>
        <c:axId val="595821862"/>
        <c:axId val="798432414"/>
      </c:barChart>
      <c:catAx>
        <c:axId val="595821862"/>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98432414"/>
        <c:crosses val="autoZero"/>
        <c:auto val="1"/>
        <c:lblAlgn val="ctr"/>
        <c:lblOffset val="100"/>
        <c:noMultiLvlLbl val="0"/>
      </c:catAx>
      <c:valAx>
        <c:axId val="798432414"/>
        <c:scaling>
          <c:orientation val="minMax"/>
        </c:scaling>
        <c:delete val="0"/>
        <c:axPos val="l"/>
        <c:numFmt formatCode="General" sourceLinked="1"/>
        <c:majorTickMark val="none"/>
        <c:minorTickMark val="none"/>
        <c:tickLblPos val="nextTo"/>
        <c:spPr>
          <a:noFill/>
          <a:ln w="6350">
            <a:solidFill>
              <a:schemeClr val="tx1">
                <a:lumMod val="50000"/>
                <a:lumOff val="50000"/>
                <a:alpha val="25000"/>
              </a:schemeClr>
            </a:solid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95821862"/>
        <c:crosses val="autoZero"/>
        <c:crossBetween val="between"/>
      </c:valAx>
      <c:spPr>
        <a:noFill/>
        <a:ln>
          <a:noFill/>
        </a:ln>
        <a:effectLst/>
      </c:spPr>
    </c:plotArea>
    <c:legend>
      <c:legendPos val="r"/>
      <c:layout>
        <c:manualLayout>
          <c:xMode val="edge"/>
          <c:yMode val="edge"/>
          <c:x val="0.877023435612467"/>
          <c:y val="0.04069273268168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b7da9c7a-a201-4bb2-9259-8f78f420b5d6}"/>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a:t>
            </a:r>
            <a:r>
              <a:rPr lang="en-US" altLang="zh-CN"/>
              <a:t>5</a:t>
            </a:r>
            <a:r>
              <a:rPr altLang="en-US"/>
              <a:t>：一般公共预算财政拨款支出决算变动情况</a:t>
            </a:r>
            <a:endParaRPr altLang="en-US"/>
          </a:p>
        </c:rich>
      </c:tx>
      <c:layout>
        <c:manualLayout>
          <c:xMode val="edge"/>
          <c:yMode val="edge"/>
          <c:x val="0.169968591447209"/>
          <c:y val="0.043136421589460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432.99</c:v>
                </c:pt>
              </c:numCache>
            </c:numRef>
          </c:val>
        </c:ser>
        <c:ser>
          <c:idx val="1"/>
          <c:order val="1"/>
          <c:tx>
            <c:strRef>
              <c:f>Sheet1!$C$1</c:f>
              <c:strCache>
                <c:ptCount val="1"/>
                <c:pt idx="0">
                  <c:v>2024年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571.19</c:v>
                </c:pt>
              </c:numCache>
            </c:numRef>
          </c:val>
        </c:ser>
        <c:dLbls>
          <c:showLegendKey val="0"/>
          <c:showVal val="1"/>
          <c:showCatName val="0"/>
          <c:showSerName val="0"/>
          <c:showPercent val="0"/>
          <c:showBubbleSize val="0"/>
        </c:dLbls>
        <c:gapWidth val="260"/>
        <c:overlap val="-32"/>
        <c:axId val="784047004"/>
        <c:axId val="419081755"/>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一般公共预算财政拨款支出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84047004"/>
        <c:scaling>
          <c:orientation val="minMax"/>
        </c:scaling>
        <c:delete val="0"/>
        <c:axPos val="b"/>
        <c:numFmt formatCode="General" sourceLinked="1"/>
        <c:majorTickMark val="out"/>
        <c:minorTickMark val="none"/>
        <c:tickLblPos val="nextTo"/>
        <c:spPr>
          <a:noFill/>
          <a:ln w="6350" cap="flat" cmpd="sng" algn="ctr">
            <a:solidFill>
              <a:schemeClr val="accent1">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19081755"/>
        <c:crosses val="autoZero"/>
        <c:auto val="1"/>
        <c:lblAlgn val="ctr"/>
        <c:lblOffset val="100"/>
        <c:noMultiLvlLbl val="0"/>
      </c:catAx>
      <c:valAx>
        <c:axId val="419081755"/>
        <c:scaling>
          <c:orientation val="minMax"/>
        </c:scaling>
        <c:delete val="1"/>
        <c:axPos val="l"/>
        <c:majorGridlines>
          <c:spPr>
            <a:ln w="6350" cap="flat" cmpd="sng" algn="ctr">
              <a:solidFill>
                <a:schemeClr val="tx1">
                  <a:lumMod val="50000"/>
                  <a:lumOff val="50000"/>
                  <a:alpha val="25000"/>
                </a:schemeClr>
              </a:solidFill>
              <a:round/>
            </a:ln>
            <a:effectLst/>
          </c:spPr>
        </c:majorGridlines>
        <c:numFmt formatCode="General" sourceLinked="1"/>
        <c:majorTickMark val="out"/>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84047004"/>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1790cc7f-0804-456b-a4a1-146d85464cda}"/>
      </c:ext>
    </c:extLst>
  </c:chart>
  <c:spPr>
    <a:solidFill>
      <a:schemeClr val="bg1"/>
    </a:solidFill>
    <a:ln w="6350" cap="flat" cmpd="sng" algn="ctr">
      <a:solidFill>
        <a:schemeClr val="tx1">
          <a:lumMod val="50000"/>
          <a:lumOff val="50000"/>
          <a:alpha val="25000"/>
        </a:schemeClr>
      </a:solidFill>
      <a:round/>
    </a:ln>
    <a:effectLst/>
  </c:spPr>
  <c:txPr>
    <a:bodyPr/>
    <a:lstStyle/>
    <a:p>
      <a:pPr>
        <a:defRPr lang="zh-CN" sz="90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a:t>
            </a:r>
            <a:r>
              <a:rPr lang="en-US" altLang="zh-CN"/>
              <a:t>6</a:t>
            </a:r>
            <a:r>
              <a:rPr altLang="en-US"/>
              <a:t>：一般公共预算财政拨款支出决算结构</a:t>
            </a:r>
            <a:endParaRPr altLang="en-US"/>
          </a:p>
        </c:rich>
      </c:tx>
      <c:layout/>
      <c:overlay val="0"/>
      <c:spPr>
        <a:noFill/>
        <a:ln>
          <a:noFill/>
        </a:ln>
        <a:effectLst/>
      </c:spPr>
    </c:title>
    <c:autoTitleDeleted val="0"/>
    <c:plotArea>
      <c:layout/>
      <c:pieChart>
        <c:varyColors val="1"/>
        <c:ser>
          <c:idx val="0"/>
          <c:order val="0"/>
          <c:tx>
            <c:strRef>
              <c:f>Sheet1!$B$1</c:f>
              <c:strCache>
                <c:ptCount val="1"/>
                <c:pt idx="0">
                  <c:v>支出数</c:v>
                </c:pt>
              </c:strCache>
            </c:strRef>
          </c:tx>
          <c:spPr>
            <a:solidFill>
              <a:schemeClr val="accent1"/>
            </a:solidFill>
            <a:ln w="50800" cap="rnd">
              <a:solidFill>
                <a:schemeClr val="lt1"/>
              </a:solidFill>
              <a:prstDash val="sysDot"/>
              <a:round/>
            </a:ln>
            <a:effectLst>
              <a:innerShdw>
                <a:prstClr val="black">
                  <a:alpha val="100000"/>
                </a:prstClr>
              </a:innerShdw>
            </a:effectLst>
          </c:spPr>
          <c:explosion val="5"/>
          <c:dPt>
            <c:idx val="0"/>
            <c:bubble3D val="0"/>
            <c:spPr>
              <a:solidFill>
                <a:schemeClr val="accent1"/>
              </a:solidFill>
              <a:ln w="50800" cap="rnd">
                <a:solidFill>
                  <a:schemeClr val="lt1"/>
                </a:solidFill>
                <a:prstDash val="sysDot"/>
                <a:round/>
              </a:ln>
              <a:effectLst>
                <a:innerShdw>
                  <a:prstClr val="black">
                    <a:alpha val="100000"/>
                  </a:prstClr>
                </a:innerShdw>
              </a:effectLst>
            </c:spPr>
          </c:dPt>
          <c:dPt>
            <c:idx val="1"/>
            <c:bubble3D val="0"/>
            <c:spPr>
              <a:solidFill>
                <a:schemeClr val="accent2"/>
              </a:solidFill>
              <a:ln w="50800" cap="rnd">
                <a:solidFill>
                  <a:schemeClr val="lt1"/>
                </a:solidFill>
                <a:prstDash val="sysDot"/>
                <a:round/>
              </a:ln>
              <a:effectLst>
                <a:innerShdw>
                  <a:prstClr val="black">
                    <a:alpha val="100000"/>
                  </a:prstClr>
                </a:innerShdw>
              </a:effectLst>
            </c:spPr>
          </c:dPt>
          <c:dPt>
            <c:idx val="2"/>
            <c:bubble3D val="0"/>
            <c:spPr>
              <a:solidFill>
                <a:schemeClr val="accent1"/>
              </a:solidFill>
              <a:ln w="50800" cap="rnd">
                <a:solidFill>
                  <a:schemeClr val="lt1"/>
                </a:solidFill>
                <a:prstDash val="sysDot"/>
                <a:round/>
              </a:ln>
              <a:effectLst>
                <a:innerShdw>
                  <a:prstClr val="black">
                    <a:alpha val="100000"/>
                  </a:prstClr>
                </a:innerShdw>
              </a:effectLst>
            </c:spPr>
          </c:dPt>
          <c:dPt>
            <c:idx val="3"/>
            <c:bubble3D val="0"/>
            <c:spPr>
              <a:solidFill>
                <a:schemeClr val="accent2"/>
              </a:solidFill>
              <a:ln w="50800" cap="rnd">
                <a:solidFill>
                  <a:schemeClr val="lt1"/>
                </a:solidFill>
                <a:prstDash val="sysDot"/>
                <a:round/>
              </a:ln>
              <a:effectLst>
                <a:innerShdw>
                  <a:prstClr val="black">
                    <a:alpha val="100000"/>
                  </a:prstClr>
                </a:innerShdw>
              </a:effectLst>
            </c:spPr>
          </c:dPt>
          <c:dPt>
            <c:idx val="4"/>
            <c:bubble3D val="0"/>
            <c:spPr>
              <a:solidFill>
                <a:schemeClr val="accent1"/>
              </a:solidFill>
              <a:ln w="50800" cap="rnd">
                <a:solidFill>
                  <a:schemeClr val="lt1"/>
                </a:solidFill>
                <a:prstDash val="sysDot"/>
                <a:round/>
              </a:ln>
              <a:effectLst>
                <a:innerShdw>
                  <a:prstClr val="black">
                    <a:alpha val="100000"/>
                  </a:prstClr>
                </a:innerShdw>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节能环保支出</c:v>
                </c:pt>
                <c:pt idx="3">
                  <c:v>农林水支出</c:v>
                </c:pt>
                <c:pt idx="4">
                  <c:v>住房保障支出</c:v>
                </c:pt>
              </c:strCache>
            </c:strRef>
          </c:cat>
          <c:val>
            <c:numRef>
              <c:f>Sheet1!$B$2:$B$6</c:f>
              <c:numCache>
                <c:formatCode>0%</c:formatCode>
                <c:ptCount val="5"/>
                <c:pt idx="0">
                  <c:v>0.05</c:v>
                </c:pt>
                <c:pt idx="1" c:formatCode="0.00%">
                  <c:v>0.015</c:v>
                </c:pt>
                <c:pt idx="2" c:formatCode="0.00%">
                  <c:v>0.7048</c:v>
                </c:pt>
                <c:pt idx="3" c:formatCode="0.00%">
                  <c:v>0.2091</c:v>
                </c:pt>
                <c:pt idx="4" c:formatCode="0.00%">
                  <c:v>0.0211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4a8f3b1a-c018-49f8-be86-3484807c8db9}"/>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ltLang="en-US"/>
              <a:t>图</a:t>
            </a:r>
            <a:r>
              <a:rPr lang="en-US" altLang="zh-CN"/>
              <a:t>7</a:t>
            </a:r>
            <a:r>
              <a:rPr altLang="en-US"/>
              <a:t>：</a:t>
            </a:r>
            <a:r>
              <a:rPr lang="en-US" altLang="zh-CN"/>
              <a:t>“</a:t>
            </a:r>
            <a:r>
              <a:rPr altLang="en-US"/>
              <a:t>三公</a:t>
            </a:r>
            <a:r>
              <a:rPr lang="en-US" altLang="zh-CN"/>
              <a:t>”</a:t>
            </a:r>
            <a:r>
              <a:rPr altLang="en-US"/>
              <a:t>经费财政拨款支出结构</a:t>
            </a:r>
            <a:endParaRPr lang="en-US" altLang="zh-CN"/>
          </a:p>
        </c:rich>
      </c:tx>
      <c:layout/>
      <c:overlay val="0"/>
      <c:spPr>
        <a:noFill/>
        <a:ln>
          <a:noFill/>
        </a:ln>
        <a:effectLst/>
      </c:spPr>
    </c:title>
    <c:autoTitleDeleted val="0"/>
    <c:plotArea>
      <c:layout/>
      <c:pieChart>
        <c:varyColors val="1"/>
        <c:ser>
          <c:idx val="1"/>
          <c:order val="0"/>
          <c:tx>
            <c:strRef>
              <c:f>Sheet1!$B$1</c:f>
              <c:strCache>
                <c:ptCount val="1"/>
                <c:pt idx="0">
                  <c:v>决算数</c:v>
                </c:pt>
              </c:strCache>
            </c:strRef>
          </c:tx>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0%</c:formatCode>
                <c:ptCount val="3"/>
                <c:pt idx="0">
                  <c:v>0</c:v>
                </c:pt>
                <c:pt idx="1" c:formatCode="0.00%">
                  <c:v>0.876</c:v>
                </c:pt>
                <c:pt idx="2" c:formatCode="0.00%">
                  <c:v>0.124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671103716028841"/>
          <c:y val="0.156150583244963"/>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a62c12b9-84c7-463a-86fd-ae28c47c73df}"/>
      </c:ext>
    </c:extLst>
  </c:chart>
  <c:spPr>
    <a:solidFill>
      <a:schemeClr val="bg1"/>
    </a:solidFill>
    <a:ln w="9525"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自定义 23">
    <a:dk1>
      <a:srgbClr val="000000"/>
    </a:dk1>
    <a:lt1>
      <a:srgbClr val="FFFFFF"/>
    </a:lt1>
    <a:dk2>
      <a:srgbClr val="44546A"/>
    </a:dk2>
    <a:lt2>
      <a:srgbClr val="E7E6E6"/>
    </a:lt2>
    <a:accent1>
      <a:srgbClr val="4EC2C8"/>
    </a:accent1>
    <a:accent2>
      <a:srgbClr val="B2CC35"/>
    </a:accent2>
    <a:accent3>
      <a:srgbClr val="9ADBC5"/>
    </a:accent3>
    <a:accent4>
      <a:srgbClr val="F986A8"/>
    </a:accent4>
    <a:accent5>
      <a:srgbClr val="F98D70"/>
    </a:accent5>
    <a:accent6>
      <a:srgbClr val="F8DC39"/>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textRotate="1"/>
    <customShpInfo spid="_x0000_s2054" textRotate="1"/>
    <customShpInfo spid="_x0000_s205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4891</Words>
  <Characters>5364</Characters>
  <Lines>7</Lines>
  <Paragraphs>17</Paragraphs>
  <TotalTime>1</TotalTime>
  <ScaleCrop>false</ScaleCrop>
  <LinksUpToDate>false</LinksUpToDate>
  <CharactersWithSpaces>5403</CharactersWithSpaces>
  <Application>WPS Office_12.1.0.22529_F1E327BC-269C-435d-A152-05C5408002CA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2025-09-06T02:49:00Z</dcterms:created>
  <dc:creator>曹颖</dc:creator>
  <cp:lastModifiedBy>何兴民</cp:lastModifiedBy>
  <cp:lastPrinted>2025-08-06T17:34:00Z</cp:lastPrinted>
  <dcterms:modified xsi:type="dcterms:W3CDTF">2025-09-16T02:06:54Z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eyJoZGlkIjoiNzI0Y2Y4ZmU4ZGQyOTQxNzkxMjZjNjQwNjQ5MTdlMTAiLCJ1c2VySWQiOiIzODI0MTc1NzMifQ==</vt:lpwstr>
  </property>
</Properties>
</file>