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DE86B">
      <w:pPr>
        <w:pStyle w:val="8"/>
        <w:spacing w:before="93"/>
        <w:rPr>
          <w:rFonts w:ascii="Times New Roman" w:eastAsia="方正小标宋简体"/>
          <w:kern w:val="2"/>
          <w:sz w:val="72"/>
          <w:szCs w:val="72"/>
        </w:rPr>
      </w:pPr>
      <w:bookmarkStart w:id="0" w:name="_Toc15377193"/>
      <w:bookmarkStart w:id="1" w:name="_Toc15377425"/>
      <w:bookmarkStart w:id="2" w:name="_Toc15396597"/>
      <w:bookmarkStart w:id="3" w:name="_Toc15396475"/>
      <w:bookmarkStart w:id="4" w:name="_Toc15378441"/>
      <w:bookmarkStart w:id="5" w:name="_Toc15306267"/>
    </w:p>
    <w:p w14:paraId="5025172B">
      <w:pPr>
        <w:pStyle w:val="8"/>
        <w:spacing w:before="93"/>
        <w:rPr>
          <w:rFonts w:ascii="Times New Roman" w:eastAsia="方正小标宋简体"/>
          <w:kern w:val="2"/>
          <w:sz w:val="72"/>
          <w:szCs w:val="72"/>
        </w:rPr>
      </w:pPr>
    </w:p>
    <w:p w14:paraId="63869729">
      <w:pPr>
        <w:pStyle w:val="8"/>
        <w:spacing w:before="93"/>
        <w:rPr>
          <w:rFonts w:ascii="Times New Roman" w:eastAsia="方正小标宋简体"/>
          <w:kern w:val="2"/>
          <w:sz w:val="72"/>
          <w:szCs w:val="72"/>
        </w:rPr>
      </w:pPr>
    </w:p>
    <w:p w14:paraId="724BC611">
      <w:pPr>
        <w:pStyle w:val="8"/>
        <w:spacing w:before="93"/>
        <w:jc w:val="center"/>
        <w:rPr>
          <w:rFonts w:ascii="Times New Roman" w:eastAsia="方正小标宋简体"/>
          <w:kern w:val="2"/>
          <w:sz w:val="44"/>
          <w:szCs w:val="44"/>
        </w:rPr>
      </w:pPr>
      <w:r>
        <w:rPr>
          <w:rFonts w:ascii="Times New Roman" w:eastAsia="方正小标宋简体"/>
          <w:kern w:val="2"/>
          <w:sz w:val="44"/>
          <w:szCs w:val="44"/>
        </w:rPr>
        <w:t>2024</w:t>
      </w:r>
      <w:r>
        <w:rPr>
          <w:rFonts w:hint="eastAsia" w:ascii="Times New Roman" w:eastAsia="方正小标宋简体"/>
          <w:kern w:val="2"/>
          <w:sz w:val="44"/>
          <w:szCs w:val="44"/>
        </w:rPr>
        <w:t>年度四川攀枝花苏铁国家级自然</w:t>
      </w:r>
    </w:p>
    <w:p w14:paraId="09A346AB">
      <w:pPr>
        <w:pStyle w:val="8"/>
        <w:spacing w:before="93"/>
        <w:jc w:val="center"/>
        <w:rPr>
          <w:rFonts w:ascii="Times New Roman" w:eastAsia="方正小标宋简体"/>
          <w:kern w:val="2"/>
          <w:sz w:val="44"/>
          <w:szCs w:val="44"/>
        </w:rPr>
      </w:pPr>
      <w:r>
        <w:rPr>
          <w:rFonts w:hint="eastAsia" w:ascii="Times New Roman" w:eastAsia="方正小标宋简体"/>
          <w:kern w:val="2"/>
          <w:sz w:val="44"/>
          <w:szCs w:val="44"/>
        </w:rPr>
        <w:t>保护区保护中心决算公开编制说明</w:t>
      </w:r>
    </w:p>
    <w:p w14:paraId="36463082">
      <w:pPr>
        <w:spacing w:line="600" w:lineRule="exact"/>
        <w:jc w:val="center"/>
        <w:outlineLvl w:val="0"/>
        <w:rPr>
          <w:rFonts w:eastAsia="方正小标宋简体"/>
          <w:sz w:val="72"/>
          <w:szCs w:val="72"/>
        </w:rPr>
      </w:pPr>
    </w:p>
    <w:p w14:paraId="001F3419">
      <w:pPr>
        <w:pStyle w:val="29"/>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14:paraId="7945F805">
      <w:pPr>
        <w:widowControl/>
        <w:jc w:val="center"/>
        <w:rPr>
          <w:rFonts w:eastAsia="黑体"/>
          <w:sz w:val="48"/>
          <w:szCs w:val="48"/>
        </w:rPr>
      </w:pPr>
      <w:r>
        <w:rPr>
          <w:rFonts w:hint="eastAsia" w:eastAsia="黑体"/>
          <w:sz w:val="48"/>
          <w:szCs w:val="48"/>
        </w:rPr>
        <w:t>目录</w:t>
      </w:r>
    </w:p>
    <w:p w14:paraId="0C67AAD0">
      <w:pPr>
        <w:widowControl/>
        <w:jc w:val="center"/>
        <w:rPr>
          <w:rFonts w:eastAsia="黑体"/>
          <w:sz w:val="28"/>
          <w:szCs w:val="28"/>
        </w:rPr>
      </w:pPr>
    </w:p>
    <w:p w14:paraId="23B5CD8D">
      <w:pPr>
        <w:pStyle w:val="13"/>
        <w:rPr>
          <w:rFonts w:ascii="Times New Roman" w:hAnsi="Times New Roman" w:eastAsia="仿宋_GB2312"/>
          <w:sz w:val="32"/>
          <w:szCs w:val="32"/>
        </w:rPr>
      </w:pPr>
      <w:r>
        <w:rPr>
          <w:rFonts w:hint="eastAsia" w:ascii="Times New Roman" w:hAnsi="Times New Roman" w:eastAsia="仿宋_GB2312"/>
          <w:sz w:val="32"/>
          <w:szCs w:val="32"/>
        </w:rPr>
        <w:t>公开时间：</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日</w:t>
      </w:r>
    </w:p>
    <w:p w14:paraId="5A6BC168"/>
    <w:p w14:paraId="2635671A">
      <w:pPr>
        <w:pStyle w:val="13"/>
        <w:adjustRightInd w:val="0"/>
        <w:snapToGrid w:val="0"/>
        <w:spacing w:before="0" w:line="560" w:lineRule="exact"/>
        <w:jc w:val="left"/>
        <w:rPr>
          <w:rFonts w:ascii="Times New Roman" w:hAnsi="Times New Roman" w:eastAsia="黑体"/>
          <w:sz w:val="32"/>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单位概况</w:t>
      </w:r>
      <w:r>
        <w:rPr>
          <w:rFonts w:ascii="Times New Roman" w:hAnsi="Times New Roman" w:eastAsia="黑体"/>
          <w:sz w:val="32"/>
          <w:szCs w:val="32"/>
        </w:rPr>
        <w:tab/>
      </w:r>
      <w:r>
        <w:rPr>
          <w:rFonts w:ascii="Times New Roman" w:hAnsi="Times New Roman" w:eastAsia="黑体"/>
          <w:sz w:val="32"/>
          <w:szCs w:val="32"/>
        </w:rPr>
        <w:t>3</w:t>
      </w:r>
    </w:p>
    <w:p w14:paraId="557F3D76">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一、单位职责</w:t>
      </w:r>
      <w:r>
        <w:rPr>
          <w:rFonts w:eastAsia="仿宋_GB2312"/>
          <w:sz w:val="32"/>
          <w:szCs w:val="32"/>
        </w:rPr>
        <w:tab/>
      </w:r>
      <w:r>
        <w:rPr>
          <w:rFonts w:eastAsia="仿宋_GB2312"/>
          <w:sz w:val="32"/>
          <w:szCs w:val="32"/>
        </w:rPr>
        <w:t>3</w:t>
      </w:r>
    </w:p>
    <w:p w14:paraId="008D639E">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二、机构设置</w:t>
      </w:r>
      <w:r>
        <w:rPr>
          <w:rFonts w:eastAsia="仿宋_GB2312"/>
          <w:sz w:val="32"/>
          <w:szCs w:val="32"/>
        </w:rPr>
        <w:tab/>
      </w:r>
      <w:r>
        <w:rPr>
          <w:rFonts w:eastAsia="仿宋_GB2312"/>
          <w:sz w:val="32"/>
          <w:szCs w:val="32"/>
        </w:rPr>
        <w:t>3</w:t>
      </w:r>
    </w:p>
    <w:p w14:paraId="447AB380">
      <w:pPr>
        <w:pStyle w:val="13"/>
        <w:adjustRightInd w:val="0"/>
        <w:snapToGrid w:val="0"/>
        <w:spacing w:before="0" w:line="560" w:lineRule="exact"/>
        <w:jc w:val="left"/>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2024</w:t>
      </w:r>
      <w:r>
        <w:rPr>
          <w:rFonts w:hint="eastAsia" w:ascii="Times New Roman" w:hAnsi="Times New Roman" w:eastAsia="黑体"/>
          <w:sz w:val="32"/>
          <w:szCs w:val="32"/>
        </w:rPr>
        <w:t>年度单位决算情况说明</w:t>
      </w:r>
      <w:r>
        <w:rPr>
          <w:rFonts w:ascii="Times New Roman" w:hAnsi="Times New Roman" w:eastAsia="黑体"/>
          <w:sz w:val="32"/>
          <w:szCs w:val="32"/>
        </w:rPr>
        <w:tab/>
      </w:r>
      <w:r>
        <w:rPr>
          <w:rFonts w:ascii="Times New Roman" w:hAnsi="Times New Roman" w:eastAsia="黑体"/>
          <w:sz w:val="32"/>
          <w:szCs w:val="32"/>
        </w:rPr>
        <w:t>4</w:t>
      </w:r>
    </w:p>
    <w:p w14:paraId="2F56F747">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一、收入支出决算总体情况说明</w:t>
      </w:r>
      <w:r>
        <w:rPr>
          <w:rFonts w:eastAsia="仿宋_GB2312"/>
          <w:sz w:val="32"/>
          <w:szCs w:val="32"/>
        </w:rPr>
        <w:tab/>
      </w:r>
      <w:r>
        <w:rPr>
          <w:rFonts w:eastAsia="仿宋_GB2312"/>
          <w:sz w:val="32"/>
          <w:szCs w:val="32"/>
        </w:rPr>
        <w:t>4</w:t>
      </w:r>
    </w:p>
    <w:p w14:paraId="247C41DB">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二、收入决算情况说明</w:t>
      </w:r>
      <w:r>
        <w:rPr>
          <w:rFonts w:eastAsia="仿宋_GB2312"/>
          <w:sz w:val="32"/>
          <w:szCs w:val="32"/>
        </w:rPr>
        <w:tab/>
      </w:r>
      <w:r>
        <w:rPr>
          <w:rFonts w:eastAsia="仿宋_GB2312"/>
          <w:sz w:val="32"/>
          <w:szCs w:val="32"/>
        </w:rPr>
        <w:t>4</w:t>
      </w:r>
    </w:p>
    <w:p w14:paraId="021822C6">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三、支出决算情况说明</w:t>
      </w:r>
      <w:r>
        <w:rPr>
          <w:rFonts w:eastAsia="仿宋_GB2312"/>
          <w:sz w:val="32"/>
          <w:szCs w:val="32"/>
        </w:rPr>
        <w:tab/>
      </w:r>
      <w:r>
        <w:rPr>
          <w:rFonts w:eastAsia="仿宋_GB2312"/>
          <w:sz w:val="32"/>
          <w:szCs w:val="32"/>
        </w:rPr>
        <w:t>5</w:t>
      </w:r>
    </w:p>
    <w:p w14:paraId="410C3B2A">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四、财政拨款收入支出决算总体情况说明</w:t>
      </w:r>
      <w:r>
        <w:rPr>
          <w:rFonts w:eastAsia="仿宋_GB2312"/>
          <w:sz w:val="32"/>
          <w:szCs w:val="32"/>
        </w:rPr>
        <w:tab/>
      </w:r>
      <w:r>
        <w:rPr>
          <w:rFonts w:eastAsia="仿宋_GB2312"/>
          <w:sz w:val="32"/>
          <w:szCs w:val="32"/>
        </w:rPr>
        <w:t>5</w:t>
      </w:r>
    </w:p>
    <w:p w14:paraId="74DEA3E7">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五、一般公共预算财政拨款支出决算情况说明</w:t>
      </w:r>
      <w:r>
        <w:rPr>
          <w:rFonts w:eastAsia="仿宋_GB2312"/>
          <w:sz w:val="32"/>
          <w:szCs w:val="32"/>
        </w:rPr>
        <w:tab/>
      </w:r>
      <w:r>
        <w:rPr>
          <w:rFonts w:eastAsia="仿宋_GB2312"/>
          <w:sz w:val="32"/>
          <w:szCs w:val="32"/>
        </w:rPr>
        <w:t>5</w:t>
      </w:r>
    </w:p>
    <w:p w14:paraId="62D23072">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六、一般公共预算财政拨款基本支出决算情况说明</w:t>
      </w:r>
      <w:r>
        <w:rPr>
          <w:rFonts w:eastAsia="仿宋_GB2312"/>
          <w:sz w:val="32"/>
          <w:szCs w:val="32"/>
        </w:rPr>
        <w:tab/>
      </w:r>
      <w:r>
        <w:rPr>
          <w:rFonts w:eastAsia="仿宋_GB2312"/>
          <w:sz w:val="32"/>
          <w:szCs w:val="32"/>
        </w:rPr>
        <w:t>8</w:t>
      </w:r>
    </w:p>
    <w:p w14:paraId="55ABA3B1">
      <w:pPr>
        <w:pStyle w:val="14"/>
        <w:adjustRightInd w:val="0"/>
        <w:snapToGrid w:val="0"/>
        <w:spacing w:line="560" w:lineRule="exact"/>
        <w:ind w:left="0" w:leftChars="0" w:firstLine="640" w:firstLineChars="200"/>
        <w:jc w:val="left"/>
        <w:rPr>
          <w:rFonts w:hint="eastAsia" w:eastAsia="仿宋_GB2312"/>
          <w:sz w:val="32"/>
          <w:szCs w:val="32"/>
          <w:lang w:eastAsia="zh-CN"/>
        </w:rPr>
      </w:pPr>
      <w:r>
        <w:rPr>
          <w:rFonts w:hint="eastAsia" w:eastAsia="仿宋_GB2312"/>
          <w:sz w:val="32"/>
          <w:szCs w:val="32"/>
        </w:rPr>
        <w:t>七、财政拨款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经费支出决算情况说明</w:t>
      </w:r>
      <w:r>
        <w:rPr>
          <w:rFonts w:eastAsia="仿宋_GB2312"/>
          <w:sz w:val="32"/>
          <w:szCs w:val="32"/>
        </w:rPr>
        <w:tab/>
      </w:r>
      <w:r>
        <w:rPr>
          <w:rFonts w:hint="eastAsia" w:eastAsia="仿宋_GB2312"/>
          <w:sz w:val="32"/>
          <w:szCs w:val="32"/>
          <w:lang w:val="en-US" w:eastAsia="zh-CN"/>
        </w:rPr>
        <w:t>9</w:t>
      </w:r>
    </w:p>
    <w:p w14:paraId="3099D17E">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八、政府性基金预算支出决算情况说明</w:t>
      </w:r>
      <w:r>
        <w:rPr>
          <w:rFonts w:eastAsia="仿宋_GB2312"/>
          <w:sz w:val="32"/>
          <w:szCs w:val="32"/>
        </w:rPr>
        <w:tab/>
      </w:r>
      <w:r>
        <w:rPr>
          <w:rFonts w:eastAsia="仿宋_GB2312"/>
          <w:sz w:val="32"/>
          <w:szCs w:val="32"/>
        </w:rPr>
        <w:t>10</w:t>
      </w:r>
    </w:p>
    <w:p w14:paraId="63F6093C">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九、国有资本经营预算支出决算情况说明</w:t>
      </w:r>
      <w:r>
        <w:rPr>
          <w:rFonts w:eastAsia="仿宋_GB2312"/>
          <w:sz w:val="32"/>
          <w:szCs w:val="32"/>
        </w:rPr>
        <w:tab/>
      </w:r>
      <w:r>
        <w:rPr>
          <w:rFonts w:eastAsia="仿宋_GB2312"/>
          <w:sz w:val="32"/>
          <w:szCs w:val="32"/>
        </w:rPr>
        <w:t>10</w:t>
      </w:r>
    </w:p>
    <w:p w14:paraId="1F23BB8F">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十、其他重要事项的情况说明</w:t>
      </w:r>
      <w:r>
        <w:rPr>
          <w:rFonts w:eastAsia="仿宋_GB2312"/>
          <w:sz w:val="32"/>
          <w:szCs w:val="32"/>
        </w:rPr>
        <w:tab/>
      </w:r>
      <w:r>
        <w:rPr>
          <w:rFonts w:eastAsia="仿宋_GB2312"/>
          <w:sz w:val="32"/>
          <w:szCs w:val="32"/>
        </w:rPr>
        <w:t>10</w:t>
      </w:r>
    </w:p>
    <w:p w14:paraId="2C542562">
      <w:pPr>
        <w:pStyle w:val="13"/>
        <w:adjustRightInd w:val="0"/>
        <w:snapToGrid w:val="0"/>
        <w:spacing w:before="0" w:line="560" w:lineRule="exact"/>
        <w:jc w:val="left"/>
        <w:rPr>
          <w:rFonts w:hint="eastAsia" w:ascii="Times New Roman" w:hAnsi="Times New Roman" w:eastAsia="黑体"/>
          <w:sz w:val="32"/>
          <w:szCs w:val="32"/>
          <w:lang w:eastAsia="zh-CN"/>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r>
        <w:rPr>
          <w:rFonts w:ascii="Times New Roman" w:hAnsi="Times New Roman" w:eastAsia="黑体"/>
          <w:sz w:val="32"/>
          <w:szCs w:val="32"/>
        </w:rPr>
        <w:tab/>
      </w:r>
      <w:r>
        <w:rPr>
          <w:rFonts w:ascii="Times New Roman" w:hAnsi="Times New Roman" w:eastAsia="黑体"/>
          <w:sz w:val="32"/>
          <w:szCs w:val="32"/>
        </w:rPr>
        <w:t>1</w:t>
      </w:r>
      <w:r>
        <w:rPr>
          <w:rFonts w:hint="eastAsia" w:ascii="Times New Roman" w:hAnsi="Times New Roman" w:eastAsia="黑体"/>
          <w:sz w:val="32"/>
          <w:szCs w:val="32"/>
          <w:lang w:val="en-US" w:eastAsia="zh-CN"/>
        </w:rPr>
        <w:t>3</w:t>
      </w:r>
    </w:p>
    <w:p w14:paraId="0C465307">
      <w:pPr>
        <w:pStyle w:val="13"/>
        <w:adjustRightInd w:val="0"/>
        <w:snapToGrid w:val="0"/>
        <w:spacing w:before="0" w:line="440" w:lineRule="exact"/>
        <w:jc w:val="left"/>
        <w:rPr>
          <w:rFonts w:hint="eastAsia" w:ascii="Times New Roman" w:hAnsi="Times New Roman" w:eastAsia="黑体"/>
          <w:sz w:val="32"/>
          <w:szCs w:val="32"/>
          <w:lang w:eastAsia="zh-CN"/>
        </w:rPr>
      </w:pPr>
      <w:r>
        <w:rPr>
          <w:rFonts w:hint="eastAsia" w:ascii="Times New Roman" w:hAnsi="Times New Roman" w:eastAsia="黑体"/>
          <w:sz w:val="32"/>
          <w:szCs w:val="32"/>
        </w:rPr>
        <w:t>第四部分</w:t>
      </w:r>
      <w:r>
        <w:rPr>
          <w:rFonts w:ascii="Times New Roman" w:hAnsi="Times New Roman" w:eastAsia="黑体"/>
          <w:sz w:val="32"/>
          <w:szCs w:val="32"/>
        </w:rPr>
        <w:t xml:space="preserve"> </w:t>
      </w:r>
      <w:r>
        <w:rPr>
          <w:rFonts w:hint="eastAsia" w:ascii="Times New Roman" w:hAnsi="Times New Roman" w:eastAsia="黑体"/>
          <w:sz w:val="32"/>
          <w:szCs w:val="32"/>
        </w:rPr>
        <w:t>附件</w:t>
      </w:r>
      <w:r>
        <w:rPr>
          <w:rFonts w:ascii="Times New Roman" w:hAnsi="Times New Roman" w:eastAsia="黑体"/>
          <w:sz w:val="32"/>
          <w:szCs w:val="32"/>
        </w:rPr>
        <w:tab/>
      </w:r>
      <w:r>
        <w:rPr>
          <w:rFonts w:ascii="Times New Roman" w:hAnsi="Times New Roman" w:eastAsia="黑体"/>
          <w:sz w:val="32"/>
          <w:szCs w:val="32"/>
        </w:rPr>
        <w:t>1</w:t>
      </w:r>
      <w:r>
        <w:rPr>
          <w:rFonts w:hint="eastAsia" w:ascii="Times New Roman" w:hAnsi="Times New Roman" w:eastAsia="黑体"/>
          <w:sz w:val="32"/>
          <w:szCs w:val="32"/>
          <w:lang w:val="en-US" w:eastAsia="zh-CN"/>
        </w:rPr>
        <w:t>6</w:t>
      </w:r>
    </w:p>
    <w:p w14:paraId="7EC31952">
      <w:pPr>
        <w:pStyle w:val="13"/>
        <w:adjustRightInd w:val="0"/>
        <w:snapToGrid w:val="0"/>
        <w:spacing w:before="0" w:line="440" w:lineRule="exact"/>
        <w:jc w:val="left"/>
        <w:rPr>
          <w:rFonts w:hint="eastAsia" w:ascii="Times New Roman" w:hAnsi="Times New Roman" w:eastAsia="黑体"/>
          <w:sz w:val="32"/>
          <w:szCs w:val="32"/>
          <w:lang w:eastAsia="zh-CN"/>
        </w:rPr>
      </w:pPr>
      <w:r>
        <w:rPr>
          <w:rFonts w:hint="eastAsia" w:ascii="Times New Roman" w:hAnsi="Times New Roman" w:eastAsia="黑体"/>
          <w:sz w:val="32"/>
          <w:szCs w:val="32"/>
        </w:rPr>
        <w:t>第五部分</w:t>
      </w:r>
      <w:r>
        <w:rPr>
          <w:rFonts w:ascii="Times New Roman" w:hAnsi="Times New Roman" w:eastAsia="黑体"/>
          <w:sz w:val="32"/>
          <w:szCs w:val="32"/>
        </w:rPr>
        <w:t xml:space="preserve"> </w:t>
      </w:r>
      <w:r>
        <w:rPr>
          <w:rFonts w:hint="eastAsia" w:ascii="Times New Roman" w:hAnsi="Times New Roman" w:eastAsia="黑体"/>
          <w:sz w:val="32"/>
          <w:szCs w:val="32"/>
        </w:rPr>
        <w:t>附表</w:t>
      </w:r>
      <w:r>
        <w:rPr>
          <w:rFonts w:ascii="Times New Roman" w:hAnsi="Times New Roman" w:eastAsia="黑体"/>
          <w:sz w:val="32"/>
          <w:szCs w:val="32"/>
        </w:rPr>
        <w:tab/>
      </w:r>
      <w:r>
        <w:rPr>
          <w:rFonts w:ascii="Times New Roman" w:hAnsi="Times New Roman" w:eastAsia="黑体"/>
          <w:sz w:val="32"/>
          <w:szCs w:val="32"/>
        </w:rPr>
        <w:t>1</w:t>
      </w:r>
      <w:r>
        <w:rPr>
          <w:rFonts w:hint="eastAsia" w:ascii="Times New Roman" w:hAnsi="Times New Roman" w:eastAsia="黑体"/>
          <w:sz w:val="32"/>
          <w:szCs w:val="32"/>
          <w:lang w:val="en-US" w:eastAsia="zh-CN"/>
        </w:rPr>
        <w:t>7</w:t>
      </w:r>
    </w:p>
    <w:p w14:paraId="1271A7C0">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一、收入支出决算总表</w:t>
      </w:r>
    </w:p>
    <w:p w14:paraId="76ECA38E">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二、收入决算表</w:t>
      </w:r>
    </w:p>
    <w:p w14:paraId="082DD214">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三、支出决算表</w:t>
      </w:r>
    </w:p>
    <w:p w14:paraId="6FA2C787">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四、财政拨款收入支出决算总表</w:t>
      </w:r>
    </w:p>
    <w:p w14:paraId="22E06900">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五、财政拨款支出决算明细表</w:t>
      </w:r>
    </w:p>
    <w:p w14:paraId="6D62DFEB">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六、一般公共预算财政拨款支出决算表</w:t>
      </w:r>
    </w:p>
    <w:p w14:paraId="222707E2">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七、一般公共预算财政拨款支出决算明细表</w:t>
      </w:r>
    </w:p>
    <w:p w14:paraId="144F6A44">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八、一般公共预算财政拨款基本支出决算明细表</w:t>
      </w:r>
    </w:p>
    <w:p w14:paraId="10F39A3A">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九、一般公共预算财政拨款项目支出决算表</w:t>
      </w:r>
    </w:p>
    <w:p w14:paraId="19993C69">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十、政府性基金预算财政拨款收入支出决算表</w:t>
      </w:r>
    </w:p>
    <w:p w14:paraId="2478804E">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十一、国有资本经营预算财政拨款收入支出决算表</w:t>
      </w:r>
    </w:p>
    <w:p w14:paraId="171FC0BF">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十二、国有资本经营预算财政拨款支出决算表</w:t>
      </w:r>
    </w:p>
    <w:p w14:paraId="19C02EE6">
      <w:pPr>
        <w:pStyle w:val="14"/>
        <w:adjustRightInd w:val="0"/>
        <w:snapToGrid w:val="0"/>
        <w:spacing w:line="560" w:lineRule="exact"/>
        <w:ind w:left="0" w:leftChars="0" w:firstLine="640" w:firstLineChars="200"/>
        <w:jc w:val="left"/>
        <w:rPr>
          <w:rFonts w:eastAsia="仿宋_GB2312"/>
          <w:sz w:val="32"/>
          <w:szCs w:val="32"/>
        </w:rPr>
      </w:pPr>
      <w:r>
        <w:rPr>
          <w:rFonts w:hint="eastAsia" w:eastAsia="仿宋_GB2312"/>
          <w:sz w:val="32"/>
          <w:szCs w:val="32"/>
        </w:rPr>
        <w:t>十三、财政拨款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经费支出决算表</w:t>
      </w:r>
    </w:p>
    <w:p w14:paraId="6789DEE5">
      <w:pPr>
        <w:widowControl/>
        <w:spacing w:line="560" w:lineRule="exact"/>
        <w:jc w:val="left"/>
        <w:rPr>
          <w:rFonts w:eastAsia="仿宋_GB2312"/>
          <w:bCs/>
          <w:kern w:val="44"/>
          <w:sz w:val="32"/>
          <w:szCs w:val="32"/>
        </w:rPr>
      </w:pPr>
      <w:bookmarkStart w:id="6" w:name="_Toc15377196"/>
      <w:bookmarkStart w:id="7" w:name="_Toc15396599"/>
      <w:r>
        <w:rPr>
          <w:rFonts w:eastAsia="仿宋_GB2312"/>
          <w:b/>
          <w:sz w:val="32"/>
          <w:szCs w:val="32"/>
        </w:rPr>
        <w:br w:type="page"/>
      </w:r>
    </w:p>
    <w:p w14:paraId="67E76A99">
      <w:pPr>
        <w:pStyle w:val="5"/>
        <w:jc w:val="center"/>
        <w:rPr>
          <w:rStyle w:val="19"/>
          <w:rFonts w:eastAsia="方正小标宋简体"/>
          <w:b/>
          <w:bCs w:val="0"/>
        </w:rPr>
      </w:pPr>
      <w:r>
        <w:rPr>
          <w:rFonts w:hint="eastAsia" w:eastAsia="方正小标宋简体"/>
          <w:b w:val="0"/>
        </w:rPr>
        <w:t>第一部分</w:t>
      </w:r>
      <w:r>
        <w:rPr>
          <w:rFonts w:eastAsia="方正小标宋简体"/>
          <w:b w:val="0"/>
        </w:rPr>
        <w:t xml:space="preserve">  </w:t>
      </w:r>
      <w:r>
        <w:rPr>
          <w:rStyle w:val="19"/>
          <w:rFonts w:hint="eastAsia" w:eastAsia="方正小标宋简体"/>
          <w:b w:val="0"/>
          <w:bCs w:val="0"/>
        </w:rPr>
        <w:t>单位概况</w:t>
      </w:r>
      <w:bookmarkEnd w:id="6"/>
      <w:bookmarkEnd w:id="7"/>
    </w:p>
    <w:p w14:paraId="1F4E517A">
      <w:pPr>
        <w:widowControl/>
        <w:jc w:val="left"/>
        <w:rPr>
          <w:rFonts w:eastAsia="黑体"/>
          <w:sz w:val="32"/>
          <w:szCs w:val="32"/>
        </w:rPr>
      </w:pPr>
    </w:p>
    <w:p w14:paraId="2FFA8723">
      <w:pPr>
        <w:pStyle w:val="6"/>
        <w:numPr>
          <w:ilvl w:val="0"/>
          <w:numId w:val="1"/>
        </w:numPr>
        <w:rPr>
          <w:rFonts w:ascii="Times New Roman" w:hAnsi="Times New Roman" w:eastAsia="黑体"/>
          <w:b w:val="0"/>
        </w:rPr>
      </w:pPr>
      <w:r>
        <w:rPr>
          <w:rFonts w:hint="eastAsia" w:ascii="Times New Roman" w:hAnsi="Times New Roman" w:eastAsia="黑体"/>
          <w:b w:val="0"/>
        </w:rPr>
        <w:t>单位职责</w:t>
      </w:r>
    </w:p>
    <w:p w14:paraId="64F4E5E4">
      <w:pPr>
        <w:ind w:firstLine="640" w:firstLineChars="200"/>
        <w:rPr>
          <w:rFonts w:eastAsia="仿宋_GB2312"/>
          <w:sz w:val="32"/>
          <w:szCs w:val="32"/>
        </w:rPr>
      </w:pPr>
      <w:r>
        <w:rPr>
          <w:rFonts w:hint="eastAsia" w:eastAsia="仿宋_GB2312"/>
          <w:sz w:val="32"/>
          <w:szCs w:val="32"/>
        </w:rPr>
        <w:t>四川攀枝花苏铁国家级自然保护区保护中心的主要职责为：保护区域内攀枝花苏铁等珍稀濒危动植物资源，维护生态平衡，自然保护科学研究，野生动植物珍稀物种栖息地环境监测与治理，自然保护宣传教育，攀枝花苏铁自然保护区生态旅游管理。</w:t>
      </w:r>
    </w:p>
    <w:p w14:paraId="577CA92B">
      <w:pPr>
        <w:pStyle w:val="6"/>
        <w:rPr>
          <w:rStyle w:val="20"/>
          <w:rFonts w:ascii="Times New Roman" w:hAnsi="Times New Roman"/>
          <w:b w:val="0"/>
          <w:bCs w:val="0"/>
        </w:rPr>
      </w:pPr>
      <w:bookmarkStart w:id="8" w:name="_Toc15396601"/>
      <w:bookmarkStart w:id="9" w:name="_Toc15377200"/>
      <w:r>
        <w:rPr>
          <w:rFonts w:hint="eastAsia" w:ascii="Times New Roman" w:hAnsi="Times New Roman" w:eastAsia="黑体"/>
          <w:b w:val="0"/>
        </w:rPr>
        <w:t>二、机</w:t>
      </w:r>
      <w:r>
        <w:rPr>
          <w:rStyle w:val="20"/>
          <w:rFonts w:hint="eastAsia" w:ascii="Times New Roman" w:hAnsi="Times New Roman" w:eastAsia="黑体"/>
          <w:b w:val="0"/>
          <w:bCs w:val="0"/>
        </w:rPr>
        <w:t>构设置</w:t>
      </w:r>
      <w:bookmarkEnd w:id="8"/>
      <w:bookmarkEnd w:id="9"/>
    </w:p>
    <w:p w14:paraId="10AE550D">
      <w:pPr>
        <w:widowControl/>
        <w:ind w:firstLine="640" w:firstLineChars="200"/>
        <w:jc w:val="left"/>
        <w:rPr>
          <w:rFonts w:eastAsia="仿宋"/>
          <w:kern w:val="0"/>
          <w:sz w:val="32"/>
          <w:szCs w:val="32"/>
        </w:rPr>
      </w:pPr>
      <w:r>
        <w:rPr>
          <w:rFonts w:hint="eastAsia" w:eastAsia="仿宋_GB2312"/>
          <w:sz w:val="32"/>
          <w:szCs w:val="32"/>
        </w:rPr>
        <w:t>四川攀枝花苏铁国家级自然保护区保护中心为攀枝花市林业局下属的全额拨款公益一类事业单位，级别为副县级，编制</w:t>
      </w:r>
      <w:r>
        <w:rPr>
          <w:rFonts w:eastAsia="仿宋_GB2312"/>
          <w:sz w:val="32"/>
          <w:szCs w:val="32"/>
        </w:rPr>
        <w:t>21</w:t>
      </w:r>
      <w:r>
        <w:rPr>
          <w:rFonts w:hint="eastAsia" w:eastAsia="仿宋_GB2312"/>
          <w:sz w:val="32"/>
          <w:szCs w:val="32"/>
        </w:rPr>
        <w:t>人，内设办公室、资源管理科、科研开发科、护林防火办公室、保护总站</w:t>
      </w:r>
      <w:r>
        <w:rPr>
          <w:rFonts w:eastAsia="仿宋_GB2312"/>
          <w:sz w:val="32"/>
          <w:szCs w:val="32"/>
        </w:rPr>
        <w:t>5</w:t>
      </w:r>
      <w:r>
        <w:rPr>
          <w:rFonts w:hint="eastAsia" w:eastAsia="仿宋_GB2312"/>
          <w:sz w:val="32"/>
          <w:szCs w:val="32"/>
        </w:rPr>
        <w:t>个科室（站），保护总站下设猴子沟、湾沟箐、民政</w:t>
      </w:r>
      <w:r>
        <w:rPr>
          <w:rFonts w:eastAsia="仿宋_GB2312"/>
          <w:sz w:val="32"/>
          <w:szCs w:val="32"/>
        </w:rPr>
        <w:t>3</w:t>
      </w:r>
      <w:r>
        <w:rPr>
          <w:rFonts w:hint="eastAsia" w:eastAsia="仿宋_GB2312"/>
          <w:sz w:val="32"/>
          <w:szCs w:val="32"/>
        </w:rPr>
        <w:t>个保护站。</w:t>
      </w:r>
      <w:r>
        <w:rPr>
          <w:rFonts w:eastAsia="仿宋"/>
          <w:sz w:val="32"/>
          <w:szCs w:val="32"/>
        </w:rPr>
        <w:br w:type="page"/>
      </w:r>
    </w:p>
    <w:p w14:paraId="4669314E">
      <w:pPr>
        <w:pStyle w:val="5"/>
        <w:jc w:val="center"/>
        <w:rPr>
          <w:rFonts w:eastAsia="方正小标宋简体"/>
          <w:b w:val="0"/>
        </w:rPr>
      </w:pPr>
      <w:bookmarkStart w:id="10" w:name="_Toc15396602"/>
      <w:bookmarkStart w:id="11" w:name="_Toc15377204"/>
      <w:r>
        <w:rPr>
          <w:rFonts w:hint="eastAsia" w:eastAsia="方正小标宋简体"/>
          <w:b w:val="0"/>
        </w:rPr>
        <w:t>第二部分</w:t>
      </w:r>
      <w:r>
        <w:rPr>
          <w:rFonts w:eastAsia="方正小标宋简体"/>
          <w:b w:val="0"/>
        </w:rPr>
        <w:t xml:space="preserve">  2024</w:t>
      </w:r>
      <w:r>
        <w:rPr>
          <w:rFonts w:hint="eastAsia" w:eastAsia="方正小标宋简体"/>
          <w:b w:val="0"/>
        </w:rPr>
        <w:t>年度单位决算情况说明</w:t>
      </w:r>
      <w:bookmarkEnd w:id="10"/>
      <w:bookmarkEnd w:id="11"/>
    </w:p>
    <w:p w14:paraId="1D6BD071"/>
    <w:p w14:paraId="3ACE65BA">
      <w:pPr>
        <w:pStyle w:val="34"/>
        <w:spacing w:line="600" w:lineRule="exact"/>
        <w:ind w:firstLine="640"/>
        <w:outlineLvl w:val="1"/>
        <w:rPr>
          <w:rStyle w:val="20"/>
          <w:rFonts w:ascii="Times New Roman" w:hAnsi="Times New Roman" w:eastAsia="黑体"/>
          <w:b w:val="0"/>
        </w:rPr>
      </w:pPr>
      <w:bookmarkStart w:id="12" w:name="_Toc15377205"/>
      <w:bookmarkStart w:id="13" w:name="_Toc15396603"/>
      <w:r>
        <w:rPr>
          <w:rFonts w:hint="eastAsia" w:eastAsia="黑体"/>
          <w:sz w:val="32"/>
          <w:szCs w:val="32"/>
        </w:rPr>
        <w:t>一、收</w:t>
      </w:r>
      <w:r>
        <w:rPr>
          <w:rStyle w:val="20"/>
          <w:rFonts w:hint="eastAsia" w:ascii="Times New Roman" w:hAnsi="Times New Roman" w:eastAsia="黑体"/>
          <w:b w:val="0"/>
        </w:rPr>
        <w:t>入支出决算总体情况说明</w:t>
      </w:r>
      <w:bookmarkEnd w:id="12"/>
      <w:bookmarkEnd w:id="13"/>
    </w:p>
    <w:p w14:paraId="709C8ECF">
      <w:pPr>
        <w:pStyle w:val="34"/>
        <w:spacing w:line="600" w:lineRule="exact"/>
        <w:ind w:firstLine="640"/>
        <w:outlineLvl w:val="1"/>
        <w:rPr>
          <w:rFonts w:eastAsia="仿宋_GB2312"/>
          <w:sz w:val="32"/>
          <w:szCs w:val="32"/>
        </w:rPr>
      </w:pPr>
      <w:bookmarkStart w:id="14" w:name="OLE_LINK3"/>
      <w:bookmarkStart w:id="15" w:name="OLE_LINK4"/>
      <w:r>
        <w:rPr>
          <w:rFonts w:eastAsia="仿宋_GB2312"/>
          <w:sz w:val="32"/>
          <w:szCs w:val="32"/>
        </w:rPr>
        <w:t>2024</w:t>
      </w:r>
      <w:bookmarkStart w:id="16" w:name="OLE_LINK5"/>
      <w:r>
        <w:rPr>
          <w:rFonts w:hint="eastAsia" w:eastAsia="仿宋_GB2312"/>
          <w:sz w:val="32"/>
          <w:szCs w:val="32"/>
        </w:rPr>
        <w:t>年度收入、支出总计</w:t>
      </w:r>
      <w:bookmarkEnd w:id="14"/>
      <w:bookmarkEnd w:id="15"/>
      <w:bookmarkEnd w:id="16"/>
      <w:r>
        <w:rPr>
          <w:rFonts w:hint="eastAsia" w:eastAsia="仿宋_GB2312"/>
          <w:sz w:val="32"/>
          <w:szCs w:val="32"/>
        </w:rPr>
        <w:t>均为</w:t>
      </w:r>
      <w:bookmarkStart w:id="17" w:name="OLE_LINK6"/>
      <w:r>
        <w:rPr>
          <w:rFonts w:eastAsia="仿宋_GB2312"/>
          <w:sz w:val="32"/>
          <w:szCs w:val="32"/>
        </w:rPr>
        <w:t>1476.43</w:t>
      </w:r>
      <w:bookmarkEnd w:id="17"/>
      <w:r>
        <w:rPr>
          <w:rFonts w:hint="eastAsia" w:eastAsia="仿宋_GB2312"/>
          <w:sz w:val="32"/>
          <w:szCs w:val="32"/>
        </w:rPr>
        <w:t>万元。与</w:t>
      </w:r>
      <w:r>
        <w:rPr>
          <w:rFonts w:eastAsia="仿宋_GB2312"/>
          <w:sz w:val="32"/>
          <w:szCs w:val="32"/>
        </w:rPr>
        <w:t>2023</w:t>
      </w:r>
      <w:r>
        <w:rPr>
          <w:rFonts w:hint="eastAsia" w:eastAsia="仿宋_GB2312"/>
          <w:sz w:val="32"/>
          <w:szCs w:val="32"/>
        </w:rPr>
        <w:t>年度相比，收入、支出总计各减少</w:t>
      </w:r>
      <w:r>
        <w:rPr>
          <w:rFonts w:eastAsia="仿宋_GB2312"/>
          <w:sz w:val="32"/>
          <w:szCs w:val="32"/>
        </w:rPr>
        <w:t>52.01</w:t>
      </w:r>
      <w:r>
        <w:rPr>
          <w:rFonts w:hint="eastAsia" w:eastAsia="仿宋_GB2312"/>
          <w:sz w:val="32"/>
          <w:szCs w:val="32"/>
        </w:rPr>
        <w:t>万元，下降</w:t>
      </w:r>
      <w:r>
        <w:rPr>
          <w:rFonts w:eastAsia="仿宋_GB2312"/>
          <w:sz w:val="32"/>
          <w:szCs w:val="32"/>
        </w:rPr>
        <w:t>3.4%</w:t>
      </w:r>
      <w:r>
        <w:rPr>
          <w:rFonts w:hint="eastAsia" w:eastAsia="仿宋_GB2312"/>
          <w:sz w:val="32"/>
          <w:szCs w:val="32"/>
        </w:rPr>
        <w:t>。主要变动原因是矿山迹地植被恢复生态治理二期建设项目资金收、支减少。</w:t>
      </w:r>
    </w:p>
    <w:p w14:paraId="5E87BFCD">
      <w:pPr>
        <w:ind w:firstLine="640" w:firstLineChars="200"/>
        <w:jc w:val="center"/>
        <w:rPr>
          <w:rFonts w:eastAsia="仿宋_GB2312"/>
          <w:sz w:val="32"/>
          <w:szCs w:val="32"/>
        </w:rPr>
      </w:pPr>
      <w:r>
        <w:rPr>
          <w:rFonts w:eastAsia="仿宋_GB2312"/>
          <w:sz w:val="32"/>
          <w:szCs w:val="32"/>
        </w:rPr>
        <w:pict>
          <v:shape id="_x0000_i1025" o:spt="75" type="#_x0000_t75" style="height:130.5pt;width:239.25pt;" filled="f" o:preferrelative="t" stroked="f" coordsize="21600,21600">
            <v:path/>
            <v:fill on="f" focussize="0,0"/>
            <v:stroke on="f" joinstyle="miter"/>
            <v:imagedata r:id="rId8" o:title=""/>
            <o:lock v:ext="edit" aspectratio="t"/>
            <w10:wrap type="none"/>
            <w10:anchorlock/>
          </v:shape>
        </w:pict>
      </w:r>
    </w:p>
    <w:p w14:paraId="0A413A24">
      <w:pPr>
        <w:pStyle w:val="34"/>
        <w:spacing w:line="600" w:lineRule="exact"/>
        <w:ind w:firstLine="640"/>
        <w:outlineLvl w:val="1"/>
        <w:rPr>
          <w:rFonts w:eastAsia="黑体"/>
          <w:sz w:val="32"/>
          <w:szCs w:val="32"/>
        </w:rPr>
      </w:pPr>
      <w:bookmarkStart w:id="18" w:name="_Toc15396604"/>
      <w:bookmarkStart w:id="19" w:name="_Toc15377206"/>
      <w:r>
        <w:rPr>
          <w:rFonts w:hint="eastAsia" w:eastAsia="黑体"/>
          <w:sz w:val="32"/>
          <w:szCs w:val="32"/>
        </w:rPr>
        <w:t>二、收入决算情况说明</w:t>
      </w:r>
      <w:bookmarkEnd w:id="18"/>
      <w:bookmarkEnd w:id="19"/>
    </w:p>
    <w:p w14:paraId="73F5BD75">
      <w:pPr>
        <w:pStyle w:val="34"/>
        <w:spacing w:line="600" w:lineRule="exact"/>
        <w:ind w:firstLine="640"/>
        <w:jc w:val="left"/>
        <w:outlineLvl w:val="1"/>
        <w:rPr>
          <w:rFonts w:eastAsia="仿宋_GB2312"/>
          <w:b/>
          <w:bCs/>
          <w:sz w:val="32"/>
          <w:szCs w:val="32"/>
        </w:rPr>
      </w:pPr>
      <w:r>
        <w:rPr>
          <w:rFonts w:eastAsia="仿宋_GB2312"/>
          <w:sz w:val="32"/>
          <w:szCs w:val="32"/>
        </w:rPr>
        <w:t>2024</w:t>
      </w:r>
      <w:r>
        <w:rPr>
          <w:rFonts w:hint="eastAsia" w:eastAsia="仿宋_GB2312"/>
          <w:sz w:val="32"/>
          <w:szCs w:val="32"/>
        </w:rPr>
        <w:t>年度本年收入合计</w:t>
      </w:r>
      <w:r>
        <w:rPr>
          <w:rFonts w:eastAsia="仿宋_GB2312"/>
          <w:sz w:val="32"/>
          <w:szCs w:val="32"/>
        </w:rPr>
        <w:t>1476.43</w:t>
      </w:r>
      <w:r>
        <w:rPr>
          <w:rFonts w:hint="eastAsia" w:eastAsia="仿宋_GB2312"/>
          <w:sz w:val="32"/>
          <w:szCs w:val="32"/>
        </w:rPr>
        <w:t>万元，其中：</w:t>
      </w:r>
      <w:bookmarkStart w:id="20" w:name="OLE_LINK8"/>
      <w:bookmarkStart w:id="21" w:name="OLE_LINK7"/>
      <w:r>
        <w:rPr>
          <w:rFonts w:hint="eastAsia" w:eastAsia="仿宋_GB2312"/>
          <w:sz w:val="32"/>
          <w:szCs w:val="32"/>
        </w:rPr>
        <w:t>一般公共预算财政拨款收入</w:t>
      </w:r>
      <w:r>
        <w:rPr>
          <w:rFonts w:eastAsia="仿宋_GB2312"/>
          <w:sz w:val="32"/>
          <w:szCs w:val="32"/>
        </w:rPr>
        <w:t>1277.47</w:t>
      </w:r>
      <w:r>
        <w:rPr>
          <w:rFonts w:hint="eastAsia" w:eastAsia="仿宋_GB2312"/>
          <w:sz w:val="32"/>
          <w:szCs w:val="32"/>
        </w:rPr>
        <w:t>万元，占</w:t>
      </w:r>
      <w:r>
        <w:rPr>
          <w:rFonts w:eastAsia="仿宋_GB2312"/>
          <w:sz w:val="32"/>
          <w:szCs w:val="32"/>
        </w:rPr>
        <w:t>86.52%</w:t>
      </w:r>
      <w:r>
        <w:rPr>
          <w:rFonts w:hint="eastAsia" w:eastAsia="仿宋_GB2312"/>
          <w:sz w:val="32"/>
          <w:szCs w:val="32"/>
        </w:rPr>
        <w:t>；政府性基金预算财政拨款收入</w:t>
      </w:r>
      <w:r>
        <w:rPr>
          <w:rFonts w:eastAsia="仿宋_GB2312"/>
          <w:sz w:val="32"/>
          <w:szCs w:val="32"/>
        </w:rPr>
        <w:t>198.96</w:t>
      </w:r>
      <w:r>
        <w:rPr>
          <w:rFonts w:hint="eastAsia" w:eastAsia="仿宋_GB2312"/>
          <w:sz w:val="32"/>
          <w:szCs w:val="32"/>
        </w:rPr>
        <w:t>万元，占</w:t>
      </w:r>
      <w:r>
        <w:rPr>
          <w:rFonts w:eastAsia="仿宋_GB2312"/>
          <w:sz w:val="32"/>
          <w:szCs w:val="32"/>
        </w:rPr>
        <w:t>13.48%</w:t>
      </w:r>
      <w:r>
        <w:rPr>
          <w:rFonts w:hint="eastAsia" w:eastAsia="仿宋_GB2312"/>
          <w:sz w:val="32"/>
          <w:szCs w:val="32"/>
        </w:rPr>
        <w:t>；</w:t>
      </w:r>
      <w:r>
        <w:rPr>
          <w:rFonts w:hint="eastAsia" w:eastAsia="仿宋_GB2312" w:cs="仿宋_GB2312"/>
          <w:sz w:val="32"/>
          <w:szCs w:val="32"/>
        </w:rPr>
        <w:t>国有资本经营预算财政拨款收入</w:t>
      </w:r>
      <w:r>
        <w:rPr>
          <w:rFonts w:eastAsia="仿宋_GB2312" w:cs="仿宋_GB2312"/>
          <w:sz w:val="32"/>
          <w:szCs w:val="32"/>
        </w:rPr>
        <w:t>0</w:t>
      </w:r>
      <w:r>
        <w:rPr>
          <w:rFonts w:hint="eastAsia" w:eastAsia="仿宋_GB2312" w:cs="仿宋_GB2312"/>
          <w:sz w:val="32"/>
          <w:szCs w:val="32"/>
        </w:rPr>
        <w:t>万元，占</w:t>
      </w:r>
      <w:r>
        <w:rPr>
          <w:rFonts w:eastAsia="仿宋_GB2312" w:cs="仿宋_GB2312"/>
          <w:sz w:val="32"/>
          <w:szCs w:val="32"/>
        </w:rPr>
        <w:t>0%</w:t>
      </w:r>
      <w:r>
        <w:rPr>
          <w:rFonts w:hint="eastAsia" w:eastAsia="仿宋_GB2312" w:cs="仿宋_GB2312"/>
          <w:sz w:val="32"/>
          <w:szCs w:val="32"/>
        </w:rPr>
        <w:t>；上级补助收入</w:t>
      </w:r>
      <w:r>
        <w:rPr>
          <w:rFonts w:eastAsia="仿宋_GB2312" w:cs="仿宋_GB2312"/>
          <w:sz w:val="32"/>
          <w:szCs w:val="32"/>
        </w:rPr>
        <w:t>0</w:t>
      </w:r>
      <w:r>
        <w:rPr>
          <w:rFonts w:hint="eastAsia" w:eastAsia="仿宋_GB2312" w:cs="仿宋_GB2312"/>
          <w:sz w:val="32"/>
          <w:szCs w:val="32"/>
        </w:rPr>
        <w:t>万元，占</w:t>
      </w:r>
      <w:r>
        <w:rPr>
          <w:rFonts w:eastAsia="仿宋_GB2312" w:cs="仿宋_GB2312"/>
          <w:sz w:val="32"/>
          <w:szCs w:val="32"/>
        </w:rPr>
        <w:t>0%</w:t>
      </w:r>
      <w:r>
        <w:rPr>
          <w:rFonts w:hint="eastAsia" w:eastAsia="仿宋_GB2312" w:cs="仿宋_GB2312"/>
          <w:sz w:val="32"/>
          <w:szCs w:val="32"/>
        </w:rPr>
        <w:t>；事业收入</w:t>
      </w:r>
      <w:r>
        <w:rPr>
          <w:rFonts w:eastAsia="仿宋_GB2312" w:cs="仿宋_GB2312"/>
          <w:sz w:val="32"/>
          <w:szCs w:val="32"/>
        </w:rPr>
        <w:t>0</w:t>
      </w:r>
      <w:r>
        <w:rPr>
          <w:rFonts w:hint="eastAsia" w:eastAsia="仿宋_GB2312" w:cs="仿宋_GB2312"/>
          <w:sz w:val="32"/>
          <w:szCs w:val="32"/>
        </w:rPr>
        <w:t>万元，占</w:t>
      </w:r>
      <w:r>
        <w:rPr>
          <w:rFonts w:eastAsia="仿宋_GB2312" w:cs="仿宋_GB2312"/>
          <w:sz w:val="32"/>
          <w:szCs w:val="32"/>
        </w:rPr>
        <w:t>0%</w:t>
      </w:r>
      <w:r>
        <w:rPr>
          <w:rFonts w:hint="eastAsia" w:eastAsia="仿宋_GB2312" w:cs="仿宋_GB2312"/>
          <w:sz w:val="32"/>
          <w:szCs w:val="32"/>
        </w:rPr>
        <w:t>；经营收入</w:t>
      </w:r>
      <w:r>
        <w:rPr>
          <w:rFonts w:eastAsia="仿宋_GB2312" w:cs="仿宋_GB2312"/>
          <w:sz w:val="32"/>
          <w:szCs w:val="32"/>
        </w:rPr>
        <w:t>0</w:t>
      </w:r>
      <w:r>
        <w:rPr>
          <w:rFonts w:hint="eastAsia" w:eastAsia="仿宋_GB2312" w:cs="仿宋_GB2312"/>
          <w:sz w:val="32"/>
          <w:szCs w:val="32"/>
        </w:rPr>
        <w:t>万元，占</w:t>
      </w:r>
      <w:r>
        <w:rPr>
          <w:rFonts w:eastAsia="仿宋_GB2312" w:cs="仿宋_GB2312"/>
          <w:sz w:val="32"/>
          <w:szCs w:val="32"/>
        </w:rPr>
        <w:t>0%</w:t>
      </w:r>
      <w:r>
        <w:rPr>
          <w:rFonts w:hint="eastAsia" w:eastAsia="仿宋_GB2312" w:cs="仿宋_GB2312"/>
          <w:sz w:val="32"/>
          <w:szCs w:val="32"/>
        </w:rPr>
        <w:t>；附属单位上缴收入</w:t>
      </w:r>
      <w:r>
        <w:rPr>
          <w:rFonts w:eastAsia="仿宋_GB2312" w:cs="仿宋_GB2312"/>
          <w:sz w:val="32"/>
          <w:szCs w:val="32"/>
        </w:rPr>
        <w:t>0</w:t>
      </w:r>
      <w:r>
        <w:rPr>
          <w:rFonts w:hint="eastAsia" w:eastAsia="仿宋_GB2312" w:cs="仿宋_GB2312"/>
          <w:sz w:val="32"/>
          <w:szCs w:val="32"/>
        </w:rPr>
        <w:t>万元，占</w:t>
      </w:r>
      <w:r>
        <w:rPr>
          <w:rFonts w:eastAsia="仿宋_GB2312" w:cs="仿宋_GB2312"/>
          <w:sz w:val="32"/>
          <w:szCs w:val="32"/>
        </w:rPr>
        <w:t>0%</w:t>
      </w:r>
      <w:r>
        <w:rPr>
          <w:rFonts w:hint="eastAsia" w:eastAsia="仿宋_GB2312" w:cs="仿宋_GB2312"/>
          <w:sz w:val="32"/>
          <w:szCs w:val="32"/>
        </w:rPr>
        <w:t>；其他收入</w:t>
      </w:r>
      <w:r>
        <w:rPr>
          <w:rFonts w:eastAsia="仿宋_GB2312" w:cs="仿宋_GB2312"/>
          <w:sz w:val="32"/>
          <w:szCs w:val="32"/>
        </w:rPr>
        <w:t>0</w:t>
      </w:r>
      <w:r>
        <w:rPr>
          <w:rFonts w:hint="eastAsia" w:eastAsia="仿宋_GB2312" w:cs="仿宋_GB2312"/>
          <w:sz w:val="32"/>
          <w:szCs w:val="32"/>
        </w:rPr>
        <w:t>万元，占</w:t>
      </w:r>
      <w:r>
        <w:rPr>
          <w:rFonts w:eastAsia="仿宋_GB2312" w:cs="仿宋_GB2312"/>
          <w:sz w:val="32"/>
          <w:szCs w:val="32"/>
        </w:rPr>
        <w:t>0%</w:t>
      </w:r>
      <w:r>
        <w:rPr>
          <w:rFonts w:hint="eastAsia" w:eastAsia="仿宋_GB2312" w:cs="仿宋_GB2312"/>
          <w:sz w:val="32"/>
          <w:szCs w:val="32"/>
        </w:rPr>
        <w:t>。</w:t>
      </w:r>
    </w:p>
    <w:bookmarkEnd w:id="20"/>
    <w:bookmarkEnd w:id="21"/>
    <w:p w14:paraId="08EDD195">
      <w:pPr>
        <w:ind w:firstLine="800" w:firstLineChars="250"/>
        <w:jc w:val="center"/>
        <w:rPr>
          <w:rFonts w:eastAsia="仿宋_GB2312"/>
          <w:sz w:val="32"/>
          <w:szCs w:val="32"/>
        </w:rPr>
      </w:pPr>
      <w:r>
        <w:rPr>
          <w:rFonts w:eastAsia="仿宋_GB2312"/>
          <w:sz w:val="32"/>
          <w:szCs w:val="32"/>
        </w:rPr>
        <w:pict>
          <v:shape id="_x0000_i1026" o:spt="75" type="#_x0000_t75" style="height:138.75pt;width:213.75pt;" filled="f" o:preferrelative="t" stroked="f" coordsize="21600,21600">
            <v:path/>
            <v:fill on="f" focussize="0,0"/>
            <v:stroke on="f" joinstyle="miter"/>
            <v:imagedata r:id="rId9" o:title=""/>
            <o:lock v:ext="edit" aspectratio="t"/>
            <w10:wrap type="none"/>
            <w10:anchorlock/>
          </v:shape>
        </w:pict>
      </w:r>
    </w:p>
    <w:p w14:paraId="1D89950E">
      <w:pPr>
        <w:pStyle w:val="34"/>
        <w:spacing w:line="600" w:lineRule="exact"/>
        <w:ind w:firstLine="640"/>
        <w:outlineLvl w:val="1"/>
        <w:rPr>
          <w:rStyle w:val="20"/>
          <w:rFonts w:ascii="Times New Roman" w:hAnsi="Times New Roman" w:eastAsia="黑体"/>
          <w:b w:val="0"/>
        </w:rPr>
      </w:pPr>
      <w:bookmarkStart w:id="22" w:name="_Toc15377207"/>
      <w:bookmarkStart w:id="23" w:name="_Toc15396605"/>
      <w:r>
        <w:rPr>
          <w:rFonts w:hint="eastAsia" w:eastAsia="黑体"/>
          <w:sz w:val="32"/>
          <w:szCs w:val="32"/>
        </w:rPr>
        <w:t>三、支</w:t>
      </w:r>
      <w:r>
        <w:rPr>
          <w:rStyle w:val="20"/>
          <w:rFonts w:hint="eastAsia" w:ascii="Times New Roman" w:hAnsi="Times New Roman" w:eastAsia="黑体"/>
          <w:b w:val="0"/>
        </w:rPr>
        <w:t>出决算情况说明</w:t>
      </w:r>
      <w:bookmarkEnd w:id="22"/>
      <w:bookmarkEnd w:id="23"/>
    </w:p>
    <w:p w14:paraId="3CBDB65C">
      <w:pPr>
        <w:spacing w:line="600" w:lineRule="exact"/>
        <w:ind w:firstLine="640" w:firstLineChars="200"/>
        <w:outlineLvl w:val="1"/>
        <w:rPr>
          <w:rFonts w:eastAsia="仿宋_GB2312"/>
          <w:sz w:val="32"/>
          <w:szCs w:val="32"/>
        </w:rPr>
      </w:pPr>
      <w:r>
        <w:rPr>
          <w:rFonts w:eastAsia="仿宋_GB2312"/>
          <w:sz w:val="32"/>
          <w:szCs w:val="32"/>
        </w:rPr>
        <w:t>2024</w:t>
      </w:r>
      <w:r>
        <w:rPr>
          <w:rFonts w:hint="eastAsia" w:eastAsia="仿宋_GB2312"/>
          <w:sz w:val="32"/>
          <w:szCs w:val="32"/>
        </w:rPr>
        <w:t>年度本年支出合计</w:t>
      </w:r>
      <w:r>
        <w:rPr>
          <w:rFonts w:eastAsia="仿宋_GB2312"/>
          <w:sz w:val="32"/>
          <w:szCs w:val="32"/>
        </w:rPr>
        <w:t>1476.43</w:t>
      </w:r>
      <w:r>
        <w:rPr>
          <w:rFonts w:hint="eastAsia" w:eastAsia="仿宋_GB2312"/>
          <w:sz w:val="32"/>
          <w:szCs w:val="32"/>
        </w:rPr>
        <w:t>万元，其中</w:t>
      </w:r>
      <w:bookmarkStart w:id="24" w:name="OLE_LINK9"/>
      <w:bookmarkStart w:id="25" w:name="OLE_LINK10"/>
      <w:r>
        <w:rPr>
          <w:rFonts w:hint="eastAsia" w:eastAsia="仿宋_GB2312"/>
          <w:sz w:val="32"/>
          <w:szCs w:val="32"/>
        </w:rPr>
        <w:t>：基本支出</w:t>
      </w:r>
      <w:bookmarkStart w:id="26" w:name="OLE_LINK32"/>
      <w:bookmarkStart w:id="27" w:name="OLE_LINK35"/>
      <w:r>
        <w:rPr>
          <w:rFonts w:eastAsia="仿宋_GB2312"/>
          <w:sz w:val="32"/>
          <w:szCs w:val="32"/>
        </w:rPr>
        <w:t>378.79</w:t>
      </w:r>
      <w:bookmarkEnd w:id="26"/>
      <w:bookmarkEnd w:id="27"/>
      <w:r>
        <w:rPr>
          <w:rFonts w:hint="eastAsia" w:eastAsia="仿宋_GB2312"/>
          <w:sz w:val="32"/>
          <w:szCs w:val="32"/>
        </w:rPr>
        <w:t>万元，占</w:t>
      </w:r>
      <w:r>
        <w:rPr>
          <w:rFonts w:eastAsia="仿宋_GB2312"/>
          <w:sz w:val="32"/>
          <w:szCs w:val="32"/>
        </w:rPr>
        <w:t>25.65%</w:t>
      </w:r>
      <w:r>
        <w:rPr>
          <w:rFonts w:hint="eastAsia" w:eastAsia="仿宋_GB2312"/>
          <w:sz w:val="32"/>
          <w:szCs w:val="32"/>
        </w:rPr>
        <w:t>；项目支出</w:t>
      </w:r>
      <w:bookmarkStart w:id="28" w:name="OLE_LINK37"/>
      <w:bookmarkStart w:id="29" w:name="OLE_LINK36"/>
      <w:r>
        <w:rPr>
          <w:rFonts w:eastAsia="仿宋_GB2312"/>
          <w:sz w:val="32"/>
          <w:szCs w:val="32"/>
        </w:rPr>
        <w:t>1097.64</w:t>
      </w:r>
      <w:bookmarkEnd w:id="28"/>
      <w:bookmarkEnd w:id="29"/>
      <w:r>
        <w:rPr>
          <w:rFonts w:hint="eastAsia" w:eastAsia="仿宋_GB2312"/>
          <w:sz w:val="32"/>
          <w:szCs w:val="32"/>
        </w:rPr>
        <w:t>万元</w:t>
      </w:r>
      <w:bookmarkEnd w:id="24"/>
      <w:bookmarkEnd w:id="25"/>
      <w:r>
        <w:rPr>
          <w:rFonts w:hint="eastAsia" w:eastAsia="仿宋_GB2312"/>
          <w:sz w:val="32"/>
          <w:szCs w:val="32"/>
        </w:rPr>
        <w:t>，占</w:t>
      </w:r>
      <w:r>
        <w:rPr>
          <w:rFonts w:eastAsia="仿宋_GB2312"/>
          <w:sz w:val="32"/>
          <w:szCs w:val="32"/>
        </w:rPr>
        <w:t>74.35%</w:t>
      </w:r>
      <w:r>
        <w:rPr>
          <w:rFonts w:hint="eastAsia" w:eastAsia="仿宋_GB2312"/>
          <w:sz w:val="32"/>
          <w:szCs w:val="32"/>
        </w:rPr>
        <w:t>。</w:t>
      </w:r>
      <w:r>
        <w:rPr>
          <w:rFonts w:eastAsia="仿宋_GB2312"/>
          <w:sz w:val="32"/>
          <w:szCs w:val="32"/>
        </w:rPr>
        <w:t xml:space="preserve"> </w:t>
      </w:r>
      <w:r>
        <w:rPr>
          <w:rFonts w:hint="eastAsia" w:eastAsia="仿宋_GB2312"/>
          <w:sz w:val="32"/>
          <w:szCs w:val="32"/>
        </w:rPr>
        <w:t>上缴上级支出</w:t>
      </w:r>
      <w:r>
        <w:rPr>
          <w:rFonts w:eastAsia="仿宋_GB2312"/>
          <w:sz w:val="32"/>
          <w:szCs w:val="32"/>
        </w:rPr>
        <w:t>0</w:t>
      </w:r>
      <w:r>
        <w:rPr>
          <w:rFonts w:hint="eastAsia" w:eastAsia="仿宋_GB2312"/>
          <w:sz w:val="32"/>
          <w:szCs w:val="32"/>
        </w:rPr>
        <w:t>万元，占</w:t>
      </w:r>
      <w:r>
        <w:rPr>
          <w:rFonts w:eastAsia="仿宋_GB2312"/>
          <w:sz w:val="32"/>
          <w:szCs w:val="32"/>
        </w:rPr>
        <w:t>0%</w:t>
      </w:r>
      <w:r>
        <w:rPr>
          <w:rFonts w:hint="eastAsia" w:eastAsia="仿宋_GB2312"/>
          <w:sz w:val="32"/>
          <w:szCs w:val="32"/>
        </w:rPr>
        <w:t>；经营支出</w:t>
      </w:r>
      <w:r>
        <w:rPr>
          <w:rFonts w:eastAsia="仿宋_GB2312"/>
          <w:sz w:val="32"/>
          <w:szCs w:val="32"/>
        </w:rPr>
        <w:t>0</w:t>
      </w:r>
      <w:r>
        <w:rPr>
          <w:rFonts w:hint="eastAsia" w:eastAsia="仿宋_GB2312"/>
          <w:sz w:val="32"/>
          <w:szCs w:val="32"/>
        </w:rPr>
        <w:t>万元，占</w:t>
      </w:r>
      <w:r>
        <w:rPr>
          <w:rFonts w:eastAsia="仿宋_GB2312"/>
          <w:sz w:val="32"/>
          <w:szCs w:val="32"/>
        </w:rPr>
        <w:t>0%</w:t>
      </w:r>
      <w:r>
        <w:rPr>
          <w:rFonts w:hint="eastAsia" w:eastAsia="仿宋_GB2312"/>
          <w:sz w:val="32"/>
          <w:szCs w:val="32"/>
        </w:rPr>
        <w:t>；对附属单位补助支出</w:t>
      </w:r>
      <w:r>
        <w:rPr>
          <w:rFonts w:eastAsia="仿宋_GB2312"/>
          <w:sz w:val="32"/>
          <w:szCs w:val="32"/>
        </w:rPr>
        <w:t>0</w:t>
      </w:r>
      <w:r>
        <w:rPr>
          <w:rFonts w:hint="eastAsia" w:eastAsia="仿宋_GB2312"/>
          <w:sz w:val="32"/>
          <w:szCs w:val="32"/>
        </w:rPr>
        <w:t>万元，占</w:t>
      </w:r>
      <w:r>
        <w:rPr>
          <w:rFonts w:eastAsia="仿宋_GB2312"/>
          <w:sz w:val="32"/>
          <w:szCs w:val="32"/>
        </w:rPr>
        <w:t>0%</w:t>
      </w:r>
      <w:r>
        <w:rPr>
          <w:rFonts w:hint="eastAsia" w:eastAsia="仿宋_GB2312"/>
          <w:sz w:val="32"/>
          <w:szCs w:val="32"/>
        </w:rPr>
        <w:t>。</w:t>
      </w:r>
    </w:p>
    <w:p w14:paraId="76DD21F2">
      <w:pPr>
        <w:ind w:firstLine="800" w:firstLineChars="250"/>
        <w:jc w:val="center"/>
        <w:rPr>
          <w:rFonts w:eastAsia="仿宋_GB2312"/>
          <w:sz w:val="32"/>
          <w:szCs w:val="32"/>
        </w:rPr>
      </w:pPr>
      <w:r>
        <w:rPr>
          <w:rFonts w:eastAsia="仿宋_GB2312"/>
          <w:sz w:val="32"/>
          <w:szCs w:val="32"/>
        </w:rPr>
        <w:pict>
          <v:shape id="_x0000_i1027" o:spt="75" type="#_x0000_t75" style="height:128.25pt;width:213pt;" filled="f" o:preferrelative="t" stroked="f" coordsize="21600,21600">
            <v:path/>
            <v:fill on="f" focussize="0,0"/>
            <v:stroke on="f" joinstyle="miter"/>
            <v:imagedata r:id="rId10" o:title=""/>
            <o:lock v:ext="edit" aspectratio="t"/>
            <w10:wrap type="none"/>
            <w10:anchorlock/>
          </v:shape>
        </w:pict>
      </w:r>
    </w:p>
    <w:p w14:paraId="13075BAF">
      <w:pPr>
        <w:spacing w:line="600" w:lineRule="exact"/>
        <w:ind w:firstLine="640" w:firstLineChars="200"/>
        <w:outlineLvl w:val="1"/>
        <w:rPr>
          <w:rStyle w:val="20"/>
          <w:rFonts w:ascii="Times New Roman" w:hAnsi="Times New Roman" w:eastAsia="黑体"/>
          <w:b w:val="0"/>
        </w:rPr>
      </w:pPr>
      <w:bookmarkStart w:id="30" w:name="_Toc15377208"/>
      <w:bookmarkStart w:id="31" w:name="_Toc15396606"/>
      <w:r>
        <w:rPr>
          <w:rFonts w:hint="eastAsia" w:eastAsia="黑体"/>
          <w:sz w:val="32"/>
          <w:szCs w:val="32"/>
        </w:rPr>
        <w:t>四、财</w:t>
      </w:r>
      <w:r>
        <w:rPr>
          <w:rStyle w:val="20"/>
          <w:rFonts w:hint="eastAsia" w:ascii="Times New Roman" w:hAnsi="Times New Roman" w:eastAsia="黑体"/>
          <w:b w:val="0"/>
        </w:rPr>
        <w:t>政拨款收入支出决算总体情况说明</w:t>
      </w:r>
      <w:bookmarkEnd w:id="30"/>
      <w:bookmarkEnd w:id="31"/>
    </w:p>
    <w:p w14:paraId="35B51A06">
      <w:pPr>
        <w:spacing w:line="600" w:lineRule="exact"/>
        <w:ind w:firstLine="640"/>
        <w:rPr>
          <w:rFonts w:eastAsia="仿宋_GB2312"/>
          <w:sz w:val="32"/>
          <w:szCs w:val="32"/>
        </w:rPr>
      </w:pPr>
      <w:bookmarkStart w:id="32" w:name="OLE_LINK11"/>
      <w:r>
        <w:rPr>
          <w:rFonts w:eastAsia="仿宋_GB2312"/>
          <w:sz w:val="32"/>
          <w:szCs w:val="32"/>
        </w:rPr>
        <w:t>2024</w:t>
      </w:r>
      <w:r>
        <w:rPr>
          <w:rFonts w:hint="eastAsia" w:eastAsia="仿宋_GB2312"/>
          <w:sz w:val="32"/>
          <w:szCs w:val="32"/>
        </w:rPr>
        <w:t>年度财政拨款收入、支出</w:t>
      </w:r>
      <w:bookmarkEnd w:id="32"/>
      <w:r>
        <w:rPr>
          <w:rFonts w:hint="eastAsia" w:eastAsia="仿宋_GB2312"/>
          <w:sz w:val="32"/>
          <w:szCs w:val="32"/>
        </w:rPr>
        <w:t>总计均为</w:t>
      </w:r>
      <w:r>
        <w:rPr>
          <w:rFonts w:eastAsia="仿宋_GB2312"/>
          <w:sz w:val="32"/>
          <w:szCs w:val="32"/>
        </w:rPr>
        <w:t>1476.43</w:t>
      </w:r>
      <w:r>
        <w:rPr>
          <w:rFonts w:hint="eastAsia" w:eastAsia="仿宋_GB2312"/>
          <w:sz w:val="32"/>
          <w:szCs w:val="32"/>
        </w:rPr>
        <w:t>万元。与</w:t>
      </w:r>
      <w:r>
        <w:rPr>
          <w:rFonts w:eastAsia="仿宋_GB2312"/>
          <w:sz w:val="32"/>
          <w:szCs w:val="32"/>
        </w:rPr>
        <w:t>2023</w:t>
      </w:r>
      <w:r>
        <w:rPr>
          <w:rFonts w:hint="eastAsia" w:eastAsia="仿宋_GB2312"/>
          <w:sz w:val="32"/>
          <w:szCs w:val="32"/>
        </w:rPr>
        <w:t>年度相比，财政拨款收入总计、支出总计各减少</w:t>
      </w:r>
      <w:r>
        <w:rPr>
          <w:rFonts w:eastAsia="仿宋_GB2312"/>
          <w:sz w:val="32"/>
          <w:szCs w:val="32"/>
        </w:rPr>
        <w:t>52.01</w:t>
      </w:r>
      <w:r>
        <w:rPr>
          <w:rFonts w:hint="eastAsia" w:eastAsia="仿宋_GB2312"/>
          <w:sz w:val="32"/>
          <w:szCs w:val="32"/>
        </w:rPr>
        <w:t>万元，下降</w:t>
      </w:r>
      <w:r>
        <w:rPr>
          <w:rFonts w:eastAsia="仿宋_GB2312"/>
          <w:sz w:val="32"/>
          <w:szCs w:val="32"/>
        </w:rPr>
        <w:t>3.4%</w:t>
      </w:r>
      <w:r>
        <w:rPr>
          <w:rFonts w:hint="eastAsia" w:eastAsia="仿宋_GB2312"/>
          <w:sz w:val="32"/>
          <w:szCs w:val="32"/>
        </w:rPr>
        <w:t>。主要变动原因是</w:t>
      </w:r>
      <w:r>
        <w:rPr>
          <w:rFonts w:hint="eastAsia" w:eastAsia="仿宋"/>
          <w:sz w:val="32"/>
          <w:szCs w:val="32"/>
        </w:rPr>
        <w:t>矿山迹地植被恢复生态治理二期建设项目资金收、支减少。</w:t>
      </w:r>
    </w:p>
    <w:p w14:paraId="19F3640E">
      <w:pPr>
        <w:spacing w:line="600" w:lineRule="exact"/>
        <w:ind w:firstLine="640"/>
        <w:rPr>
          <w:rStyle w:val="20"/>
          <w:rFonts w:ascii="Times New Roman" w:hAnsi="Times New Roman" w:eastAsia="黑体"/>
          <w:b w:val="0"/>
        </w:rPr>
      </w:pPr>
      <w:bookmarkStart w:id="33" w:name="_Toc15377209"/>
      <w:bookmarkStart w:id="34" w:name="_Toc15396607"/>
      <w:r>
        <w:pict>
          <v:shape id="图片 11" o:spid="_x0000_s1026" o:spt="75" type="#_x0000_t75" style="position:absolute;left:0pt;margin-left:92pt;margin-top:6.25pt;height:148.55pt;width:242.5pt;mso-wrap-distance-bottom:0pt;mso-wrap-distance-top:0pt;z-index:251660288;mso-width-relative:page;mso-height-relative:page;" filled="f" o:preferrelative="t" stroked="f" coordsize="21600,21600">
            <v:path/>
            <v:fill on="f" focussize="0,0"/>
            <v:stroke on="f" joinstyle="miter"/>
            <v:imagedata r:id="rId11" o:title=""/>
            <o:lock v:ext="edit" aspectratio="t"/>
            <w10:wrap type="topAndBottom"/>
          </v:shape>
        </w:pict>
      </w:r>
      <w:r>
        <w:rPr>
          <w:rFonts w:hint="eastAsia" w:eastAsia="黑体"/>
          <w:sz w:val="32"/>
          <w:szCs w:val="32"/>
        </w:rPr>
        <w:t>五、</w:t>
      </w:r>
      <w:r>
        <w:rPr>
          <w:rFonts w:hint="eastAsia" w:eastAsia="黑体"/>
          <w:b/>
          <w:sz w:val="32"/>
          <w:szCs w:val="32"/>
        </w:rPr>
        <w:t>一</w:t>
      </w:r>
      <w:r>
        <w:rPr>
          <w:rStyle w:val="20"/>
          <w:rFonts w:hint="eastAsia" w:ascii="Times New Roman" w:hAnsi="Times New Roman" w:eastAsia="黑体"/>
          <w:b w:val="0"/>
        </w:rPr>
        <w:t>般公共预算财政拨款支出决算情况说明</w:t>
      </w:r>
      <w:bookmarkEnd w:id="33"/>
      <w:bookmarkEnd w:id="34"/>
    </w:p>
    <w:p w14:paraId="43639B52">
      <w:pPr>
        <w:spacing w:line="600" w:lineRule="exact"/>
        <w:ind w:firstLine="643" w:firstLineChars="200"/>
        <w:outlineLvl w:val="2"/>
        <w:rPr>
          <w:rFonts w:eastAsia="楷体_GB2312"/>
          <w:b/>
          <w:sz w:val="32"/>
          <w:szCs w:val="32"/>
        </w:rPr>
      </w:pPr>
      <w:bookmarkStart w:id="35" w:name="_Toc15377210"/>
      <w:r>
        <w:rPr>
          <w:rFonts w:hint="eastAsia" w:eastAsia="楷体_GB2312"/>
          <w:b/>
          <w:sz w:val="32"/>
          <w:szCs w:val="32"/>
        </w:rPr>
        <w:t>（一）一般公共预算财政拨款支出决算总体情况</w:t>
      </w:r>
      <w:bookmarkEnd w:id="35"/>
    </w:p>
    <w:p w14:paraId="6AED08F0">
      <w:pPr>
        <w:spacing w:line="600" w:lineRule="exact"/>
        <w:ind w:firstLine="640"/>
        <w:rPr>
          <w:rFonts w:eastAsia="仿宋_GB2312"/>
          <w:sz w:val="32"/>
          <w:szCs w:val="32"/>
        </w:rPr>
      </w:pPr>
      <w:r>
        <w:rPr>
          <w:rFonts w:eastAsia="仿宋_GB2312"/>
          <w:sz w:val="32"/>
          <w:szCs w:val="32"/>
        </w:rPr>
        <w:t>2024</w:t>
      </w:r>
      <w:r>
        <w:rPr>
          <w:rFonts w:hint="eastAsia" w:eastAsia="仿宋_GB2312"/>
          <w:sz w:val="32"/>
          <w:szCs w:val="32"/>
        </w:rPr>
        <w:t>年度</w:t>
      </w:r>
      <w:bookmarkStart w:id="36" w:name="OLE_LINK13"/>
      <w:bookmarkStart w:id="37" w:name="OLE_LINK12"/>
      <w:r>
        <w:rPr>
          <w:rFonts w:hint="eastAsia" w:eastAsia="仿宋_GB2312"/>
          <w:sz w:val="32"/>
          <w:szCs w:val="32"/>
        </w:rPr>
        <w:t>一般公共预算财政拨款支出</w:t>
      </w:r>
      <w:bookmarkEnd w:id="36"/>
      <w:bookmarkEnd w:id="37"/>
      <w:r>
        <w:rPr>
          <w:rFonts w:eastAsia="仿宋_GB2312"/>
          <w:sz w:val="32"/>
          <w:szCs w:val="32"/>
        </w:rPr>
        <w:t>1277.47</w:t>
      </w:r>
      <w:r>
        <w:rPr>
          <w:rFonts w:hint="eastAsia" w:eastAsia="仿宋_GB2312"/>
          <w:sz w:val="32"/>
          <w:szCs w:val="32"/>
        </w:rPr>
        <w:t>万元，占本年支出合计的</w:t>
      </w:r>
      <w:r>
        <w:rPr>
          <w:rFonts w:eastAsia="仿宋_GB2312"/>
          <w:sz w:val="32"/>
          <w:szCs w:val="32"/>
        </w:rPr>
        <w:t>86.52%</w:t>
      </w:r>
      <w:r>
        <w:rPr>
          <w:rFonts w:hint="eastAsia" w:eastAsia="仿宋_GB2312"/>
          <w:sz w:val="32"/>
          <w:szCs w:val="32"/>
        </w:rPr>
        <w:t>。与</w:t>
      </w:r>
      <w:r>
        <w:rPr>
          <w:rFonts w:eastAsia="仿宋_GB2312"/>
          <w:sz w:val="32"/>
          <w:szCs w:val="32"/>
        </w:rPr>
        <w:t>2023</w:t>
      </w:r>
      <w:r>
        <w:rPr>
          <w:rFonts w:hint="eastAsia" w:eastAsia="仿宋_GB2312"/>
          <w:sz w:val="32"/>
          <w:szCs w:val="32"/>
        </w:rPr>
        <w:t>年度相比，一般公共预算财政拨款支出减少</w:t>
      </w:r>
      <w:r>
        <w:rPr>
          <w:rFonts w:eastAsia="仿宋_GB2312"/>
          <w:sz w:val="32"/>
          <w:szCs w:val="32"/>
        </w:rPr>
        <w:t>250.97</w:t>
      </w:r>
      <w:r>
        <w:rPr>
          <w:rFonts w:hint="eastAsia" w:eastAsia="仿宋_GB2312"/>
          <w:sz w:val="32"/>
          <w:szCs w:val="32"/>
        </w:rPr>
        <w:t>万元，下降</w:t>
      </w:r>
      <w:r>
        <w:rPr>
          <w:rFonts w:eastAsia="仿宋_GB2312"/>
          <w:sz w:val="32"/>
          <w:szCs w:val="32"/>
        </w:rPr>
        <w:t>16.42%</w:t>
      </w:r>
      <w:r>
        <w:rPr>
          <w:rFonts w:hint="eastAsia" w:eastAsia="仿宋_GB2312"/>
          <w:sz w:val="32"/>
          <w:szCs w:val="32"/>
        </w:rPr>
        <w:t>。主要变动原因是基础设施建设及植被恢复生态治理二期项目资金支出减少。</w:t>
      </w:r>
    </w:p>
    <w:p w14:paraId="420AD016">
      <w:pPr>
        <w:spacing w:line="600" w:lineRule="exact"/>
        <w:ind w:firstLine="420" w:firstLineChars="200"/>
        <w:outlineLvl w:val="2"/>
        <w:rPr>
          <w:rFonts w:eastAsia="楷体_GB2312"/>
          <w:b/>
          <w:sz w:val="32"/>
          <w:szCs w:val="32"/>
        </w:rPr>
      </w:pPr>
      <w:bookmarkStart w:id="38" w:name="_Toc15377211"/>
      <w:r>
        <w:pict>
          <v:shape id="图片 7" o:spid="_x0000_s1027" o:spt="75" type="#_x0000_t75" style="position:absolute;left:0pt;margin-left:79.9pt;margin-top:6pt;height:138.55pt;width:248pt;mso-wrap-distance-bottom:0pt;mso-wrap-distance-top:0pt;z-index:251659264;mso-width-relative:page;mso-height-relative:page;" filled="f" o:preferrelative="t" stroked="f" coordsize="21600,21600">
            <v:path/>
            <v:fill on="f" focussize="0,0"/>
            <v:stroke on="f" joinstyle="miter"/>
            <v:imagedata r:id="rId12" o:title=""/>
            <o:lock v:ext="edit" aspectratio="t"/>
            <w10:wrap type="topAndBottom"/>
          </v:shape>
        </w:pict>
      </w:r>
      <w:r>
        <w:rPr>
          <w:rFonts w:hint="eastAsia" w:eastAsia="楷体_GB2312"/>
          <w:b/>
          <w:sz w:val="32"/>
          <w:szCs w:val="32"/>
        </w:rPr>
        <w:t>（二）一般公共预算财政拨款支出决算结构情况</w:t>
      </w:r>
      <w:bookmarkEnd w:id="38"/>
    </w:p>
    <w:p w14:paraId="09DA550E">
      <w:pPr>
        <w:spacing w:line="600" w:lineRule="exact"/>
        <w:ind w:firstLine="640"/>
        <w:rPr>
          <w:rFonts w:eastAsia="仿宋_GB2312"/>
          <w:sz w:val="32"/>
          <w:szCs w:val="32"/>
        </w:rPr>
      </w:pPr>
      <w:r>
        <w:rPr>
          <w:rFonts w:eastAsia="仿宋_GB2312"/>
          <w:sz w:val="32"/>
          <w:szCs w:val="32"/>
        </w:rPr>
        <w:t>2024</w:t>
      </w:r>
      <w:r>
        <w:rPr>
          <w:rFonts w:hint="eastAsia" w:eastAsia="仿宋_GB2312"/>
          <w:sz w:val="32"/>
          <w:szCs w:val="32"/>
        </w:rPr>
        <w:t>年度一般公共预算财政拨款支出</w:t>
      </w:r>
      <w:r>
        <w:rPr>
          <w:rFonts w:eastAsia="仿宋_GB2312"/>
          <w:sz w:val="32"/>
          <w:szCs w:val="32"/>
        </w:rPr>
        <w:t>1277.47</w:t>
      </w:r>
      <w:r>
        <w:rPr>
          <w:rFonts w:hint="eastAsia" w:eastAsia="仿宋_GB2312"/>
          <w:sz w:val="32"/>
          <w:szCs w:val="32"/>
        </w:rPr>
        <w:t>万元，主要用于以下方面：</w:t>
      </w:r>
      <w:bookmarkStart w:id="39" w:name="OLE_LINK14"/>
      <w:bookmarkStart w:id="40" w:name="OLE_LINK15"/>
      <w:r>
        <w:rPr>
          <w:rFonts w:hint="eastAsia" w:eastAsia="仿宋_GB2312"/>
          <w:sz w:val="32"/>
          <w:szCs w:val="32"/>
        </w:rPr>
        <w:t>社会保障和就业支出</w:t>
      </w:r>
      <w:r>
        <w:rPr>
          <w:rFonts w:eastAsia="仿宋_GB2312"/>
          <w:sz w:val="32"/>
          <w:szCs w:val="32"/>
        </w:rPr>
        <w:t>47.54</w:t>
      </w:r>
      <w:bookmarkEnd w:id="39"/>
      <w:bookmarkEnd w:id="40"/>
      <w:r>
        <w:rPr>
          <w:rFonts w:hint="eastAsia" w:eastAsia="仿宋_GB2312"/>
          <w:sz w:val="32"/>
          <w:szCs w:val="32"/>
        </w:rPr>
        <w:t>万元，占</w:t>
      </w:r>
      <w:r>
        <w:rPr>
          <w:rFonts w:eastAsia="仿宋_GB2312"/>
          <w:sz w:val="32"/>
          <w:szCs w:val="32"/>
        </w:rPr>
        <w:t>3.72%</w:t>
      </w:r>
      <w:r>
        <w:rPr>
          <w:rFonts w:hint="eastAsia" w:eastAsia="仿宋_GB2312"/>
          <w:sz w:val="32"/>
          <w:szCs w:val="32"/>
        </w:rPr>
        <w:t>；卫生健康支出</w:t>
      </w:r>
      <w:r>
        <w:rPr>
          <w:rFonts w:eastAsia="仿宋_GB2312"/>
          <w:sz w:val="32"/>
          <w:szCs w:val="32"/>
        </w:rPr>
        <w:t>19.36</w:t>
      </w:r>
      <w:r>
        <w:rPr>
          <w:rFonts w:hint="eastAsia" w:eastAsia="仿宋_GB2312"/>
          <w:sz w:val="32"/>
          <w:szCs w:val="32"/>
        </w:rPr>
        <w:t>万元，占</w:t>
      </w:r>
      <w:r>
        <w:rPr>
          <w:rFonts w:eastAsia="仿宋_GB2312"/>
          <w:sz w:val="32"/>
          <w:szCs w:val="32"/>
        </w:rPr>
        <w:t>1.52%</w:t>
      </w:r>
      <w:r>
        <w:rPr>
          <w:rFonts w:hint="eastAsia" w:eastAsia="仿宋_GB2312"/>
          <w:sz w:val="32"/>
          <w:szCs w:val="32"/>
        </w:rPr>
        <w:t>；</w:t>
      </w:r>
      <w:bookmarkStart w:id="41" w:name="OLE_LINK17"/>
      <w:bookmarkStart w:id="42" w:name="OLE_LINK16"/>
      <w:r>
        <w:rPr>
          <w:rFonts w:hint="eastAsia" w:eastAsia="仿宋_GB2312"/>
          <w:sz w:val="32"/>
          <w:szCs w:val="32"/>
        </w:rPr>
        <w:t>节能环保支出</w:t>
      </w:r>
      <w:r>
        <w:rPr>
          <w:rFonts w:eastAsia="仿宋_GB2312"/>
          <w:sz w:val="32"/>
          <w:szCs w:val="32"/>
        </w:rPr>
        <w:t>462.95</w:t>
      </w:r>
      <w:bookmarkEnd w:id="41"/>
      <w:bookmarkEnd w:id="42"/>
      <w:r>
        <w:rPr>
          <w:rFonts w:hint="eastAsia" w:eastAsia="仿宋_GB2312"/>
          <w:sz w:val="32"/>
          <w:szCs w:val="32"/>
        </w:rPr>
        <w:t>万元，占</w:t>
      </w:r>
      <w:r>
        <w:rPr>
          <w:rFonts w:eastAsia="仿宋_GB2312"/>
          <w:sz w:val="32"/>
          <w:szCs w:val="32"/>
        </w:rPr>
        <w:t>36.24%</w:t>
      </w:r>
      <w:r>
        <w:rPr>
          <w:rFonts w:hint="eastAsia" w:eastAsia="仿宋_GB2312"/>
          <w:sz w:val="32"/>
          <w:szCs w:val="32"/>
        </w:rPr>
        <w:t>；</w:t>
      </w:r>
      <w:bookmarkStart w:id="43" w:name="OLE_LINK18"/>
      <w:r>
        <w:rPr>
          <w:rFonts w:hint="eastAsia" w:eastAsia="仿宋_GB2312"/>
          <w:sz w:val="32"/>
          <w:szCs w:val="32"/>
        </w:rPr>
        <w:t>农林水支出</w:t>
      </w:r>
      <w:r>
        <w:rPr>
          <w:rFonts w:eastAsia="仿宋_GB2312"/>
          <w:sz w:val="32"/>
          <w:szCs w:val="32"/>
        </w:rPr>
        <w:t>720.46</w:t>
      </w:r>
      <w:bookmarkEnd w:id="43"/>
      <w:r>
        <w:rPr>
          <w:rFonts w:hint="eastAsia" w:eastAsia="仿宋_GB2312"/>
          <w:sz w:val="32"/>
          <w:szCs w:val="32"/>
        </w:rPr>
        <w:t>万元，占</w:t>
      </w:r>
      <w:r>
        <w:rPr>
          <w:rFonts w:eastAsia="仿宋_GB2312"/>
          <w:sz w:val="32"/>
          <w:szCs w:val="32"/>
        </w:rPr>
        <w:t>56.4 %</w:t>
      </w:r>
      <w:r>
        <w:rPr>
          <w:rFonts w:hint="eastAsia" w:eastAsia="仿宋_GB2312"/>
          <w:sz w:val="32"/>
          <w:szCs w:val="32"/>
        </w:rPr>
        <w:t>；</w:t>
      </w:r>
      <w:bookmarkStart w:id="44" w:name="OLE_LINK20"/>
      <w:bookmarkStart w:id="45" w:name="OLE_LINK19"/>
      <w:r>
        <w:rPr>
          <w:rFonts w:hint="eastAsia" w:eastAsia="仿宋_GB2312"/>
          <w:sz w:val="32"/>
          <w:szCs w:val="32"/>
        </w:rPr>
        <w:t>住房保障支出</w:t>
      </w:r>
      <w:r>
        <w:rPr>
          <w:rFonts w:eastAsia="仿宋_GB2312"/>
          <w:sz w:val="32"/>
          <w:szCs w:val="32"/>
        </w:rPr>
        <w:t>27.16</w:t>
      </w:r>
      <w:bookmarkEnd w:id="44"/>
      <w:bookmarkEnd w:id="45"/>
      <w:r>
        <w:rPr>
          <w:rFonts w:hint="eastAsia" w:eastAsia="仿宋_GB2312"/>
          <w:sz w:val="32"/>
          <w:szCs w:val="32"/>
        </w:rPr>
        <w:t>万元，占</w:t>
      </w:r>
      <w:r>
        <w:rPr>
          <w:rFonts w:eastAsia="仿宋_GB2312"/>
          <w:sz w:val="32"/>
          <w:szCs w:val="32"/>
        </w:rPr>
        <w:t>2.12%</w:t>
      </w:r>
      <w:r>
        <w:rPr>
          <w:rFonts w:hint="eastAsia" w:eastAsia="仿宋_GB2312"/>
          <w:sz w:val="32"/>
          <w:szCs w:val="32"/>
        </w:rPr>
        <w:t>。</w:t>
      </w:r>
      <w:r>
        <w:rPr>
          <w:rFonts w:eastAsia="仿宋_GB2312"/>
          <w:sz w:val="32"/>
          <w:szCs w:val="32"/>
        </w:rPr>
        <w:t xml:space="preserve"> </w:t>
      </w:r>
    </w:p>
    <w:p w14:paraId="7467B3E5">
      <w:pPr>
        <w:spacing w:line="600" w:lineRule="exact"/>
        <w:ind w:firstLine="420" w:firstLineChars="200"/>
        <w:outlineLvl w:val="2"/>
        <w:rPr>
          <w:rFonts w:eastAsia="楷体_GB2312"/>
          <w:b/>
          <w:sz w:val="32"/>
          <w:szCs w:val="32"/>
        </w:rPr>
      </w:pPr>
      <w:bookmarkStart w:id="46" w:name="_Toc15377212"/>
      <w:r>
        <w:pict>
          <v:shape id="图片 13" o:spid="_x0000_s1028" o:spt="75" type="#_x0000_t75" style="position:absolute;left:0pt;margin-left:94.1pt;margin-top:6.2pt;height:150.1pt;width:252.05pt;mso-wrap-distance-bottom:0pt;mso-wrap-distance-top:0pt;z-index:251660288;mso-width-relative:page;mso-height-relative:page;" filled="f" o:preferrelative="t" stroked="f" coordsize="21600,21600">
            <v:path/>
            <v:fill on="f" focussize="0,0"/>
            <v:stroke on="f" joinstyle="miter"/>
            <v:imagedata r:id="rId13" o:title=""/>
            <o:lock v:ext="edit" aspectratio="t"/>
            <w10:wrap type="topAndBottom"/>
          </v:shape>
        </w:pict>
      </w:r>
      <w:r>
        <w:rPr>
          <w:rFonts w:hint="eastAsia" w:eastAsia="楷体_GB2312"/>
          <w:b/>
          <w:sz w:val="32"/>
          <w:szCs w:val="32"/>
        </w:rPr>
        <w:t>（三）一般公共预算财政拨款支出决算具体情况</w:t>
      </w:r>
      <w:bookmarkEnd w:id="46"/>
    </w:p>
    <w:p w14:paraId="5A24CA8B">
      <w:pPr>
        <w:spacing w:line="600" w:lineRule="exact"/>
        <w:ind w:firstLine="640"/>
        <w:rPr>
          <w:rFonts w:eastAsia="仿宋_GB2312"/>
          <w:sz w:val="32"/>
          <w:szCs w:val="32"/>
        </w:rPr>
      </w:pPr>
      <w:bookmarkStart w:id="47" w:name="_Toc15378460"/>
      <w:bookmarkStart w:id="48" w:name="_Toc15377444"/>
      <w:bookmarkStart w:id="49" w:name="_Toc15377213"/>
      <w:r>
        <w:rPr>
          <w:rFonts w:eastAsia="仿宋_GB2312"/>
          <w:sz w:val="32"/>
          <w:szCs w:val="32"/>
        </w:rPr>
        <w:t>2024</w:t>
      </w:r>
      <w:r>
        <w:rPr>
          <w:rFonts w:hint="eastAsia" w:eastAsia="仿宋_GB2312"/>
          <w:sz w:val="32"/>
          <w:szCs w:val="32"/>
        </w:rPr>
        <w:t>年度一般公共预算财政拨款支出决算数为</w:t>
      </w:r>
      <w:r>
        <w:rPr>
          <w:rFonts w:eastAsia="仿宋_GB2312"/>
          <w:sz w:val="32"/>
          <w:szCs w:val="32"/>
        </w:rPr>
        <w:t>1277.47</w:t>
      </w:r>
      <w:r>
        <w:rPr>
          <w:rFonts w:hint="eastAsia" w:eastAsia="仿宋_GB2312"/>
          <w:sz w:val="32"/>
          <w:szCs w:val="32"/>
        </w:rPr>
        <w:t>万元，完成预算</w:t>
      </w:r>
      <w:r>
        <w:rPr>
          <w:rFonts w:eastAsia="仿宋_GB2312"/>
          <w:sz w:val="32"/>
          <w:szCs w:val="32"/>
        </w:rPr>
        <w:t>100%</w:t>
      </w:r>
      <w:r>
        <w:rPr>
          <w:rFonts w:hint="eastAsia" w:eastAsia="仿宋_GB2312"/>
          <w:sz w:val="32"/>
          <w:szCs w:val="32"/>
        </w:rPr>
        <w:t>。其中：</w:t>
      </w:r>
      <w:bookmarkEnd w:id="47"/>
      <w:bookmarkEnd w:id="48"/>
      <w:bookmarkEnd w:id="49"/>
    </w:p>
    <w:p w14:paraId="7EFD9375">
      <w:pPr>
        <w:spacing w:line="600" w:lineRule="exact"/>
        <w:ind w:firstLine="640"/>
        <w:rPr>
          <w:rFonts w:eastAsia="仿宋_GB2312"/>
          <w:sz w:val="32"/>
          <w:szCs w:val="32"/>
        </w:rPr>
      </w:pPr>
      <w:r>
        <w:rPr>
          <w:rFonts w:eastAsia="仿宋_GB2312"/>
          <w:sz w:val="32"/>
          <w:szCs w:val="32"/>
        </w:rPr>
        <w:t>1.</w:t>
      </w:r>
      <w:bookmarkStart w:id="50" w:name="OLE_LINK46"/>
      <w:bookmarkStart w:id="51" w:name="OLE_LINK45"/>
      <w:bookmarkStart w:id="52" w:name="OLE_LINK67"/>
      <w:bookmarkStart w:id="53" w:name="OLE_LINK68"/>
      <w:r>
        <w:rPr>
          <w:rFonts w:hint="eastAsia" w:eastAsia="仿宋_GB2312"/>
          <w:sz w:val="32"/>
          <w:szCs w:val="32"/>
        </w:rPr>
        <w:t>社会保障和就业（类）行政事业单位养老支出（款）</w:t>
      </w:r>
      <w:bookmarkEnd w:id="50"/>
      <w:bookmarkEnd w:id="51"/>
      <w:r>
        <w:rPr>
          <w:rFonts w:hint="eastAsia" w:eastAsia="仿宋_GB2312"/>
          <w:sz w:val="32"/>
          <w:szCs w:val="32"/>
        </w:rPr>
        <w:t>事业单位离退休（项）</w:t>
      </w:r>
      <w:bookmarkEnd w:id="52"/>
      <w:bookmarkEnd w:id="53"/>
      <w:r>
        <w:rPr>
          <w:rFonts w:hint="eastAsia" w:eastAsia="仿宋_GB2312"/>
          <w:sz w:val="32"/>
          <w:szCs w:val="32"/>
          <w:lang w:eastAsia="zh-CN"/>
        </w:rPr>
        <w:t>：</w:t>
      </w:r>
      <w:r>
        <w:rPr>
          <w:rFonts w:eastAsia="仿宋_GB2312"/>
          <w:sz w:val="32"/>
          <w:szCs w:val="32"/>
        </w:rPr>
        <w:t xml:space="preserve"> </w:t>
      </w:r>
      <w:r>
        <w:rPr>
          <w:rFonts w:hint="eastAsia" w:eastAsia="仿宋_GB2312"/>
          <w:sz w:val="32"/>
          <w:szCs w:val="32"/>
        </w:rPr>
        <w:t>事业单位离退休支出决算为</w:t>
      </w:r>
      <w:r>
        <w:rPr>
          <w:rFonts w:eastAsia="仿宋_GB2312"/>
          <w:sz w:val="32"/>
          <w:szCs w:val="32"/>
        </w:rPr>
        <w:t>5.87</w:t>
      </w:r>
      <w:r>
        <w:rPr>
          <w:rFonts w:hint="eastAsia" w:eastAsia="仿宋_GB2312"/>
          <w:sz w:val="32"/>
          <w:szCs w:val="32"/>
        </w:rPr>
        <w:t>万元，完成预算</w:t>
      </w:r>
      <w:r>
        <w:rPr>
          <w:rFonts w:eastAsia="仿宋_GB2312"/>
          <w:sz w:val="32"/>
          <w:szCs w:val="32"/>
        </w:rPr>
        <w:t>100%</w:t>
      </w:r>
      <w:r>
        <w:rPr>
          <w:rFonts w:hint="eastAsia" w:eastAsia="仿宋_GB2312"/>
          <w:sz w:val="32"/>
          <w:szCs w:val="32"/>
        </w:rPr>
        <w:t>，与预算数持平。</w:t>
      </w:r>
    </w:p>
    <w:p w14:paraId="31AB20A5">
      <w:pPr>
        <w:spacing w:line="600" w:lineRule="exact"/>
        <w:ind w:firstLine="640"/>
        <w:rPr>
          <w:rFonts w:eastAsia="仿宋_GB2312"/>
          <w:sz w:val="32"/>
          <w:szCs w:val="32"/>
        </w:rPr>
      </w:pPr>
      <w:r>
        <w:rPr>
          <w:rFonts w:eastAsia="仿宋_GB2312"/>
          <w:sz w:val="32"/>
          <w:szCs w:val="32"/>
        </w:rPr>
        <w:t>2.</w:t>
      </w:r>
      <w:bookmarkStart w:id="54" w:name="OLE_LINK24"/>
      <w:bookmarkStart w:id="55" w:name="OLE_LINK23"/>
      <w:r>
        <w:rPr>
          <w:rFonts w:eastAsia="仿宋_GB2312"/>
          <w:sz w:val="32"/>
          <w:szCs w:val="32"/>
        </w:rPr>
        <w:t xml:space="preserve"> </w:t>
      </w:r>
      <w:bookmarkStart w:id="56" w:name="OLE_LINK47"/>
      <w:bookmarkStart w:id="57" w:name="OLE_LINK48"/>
      <w:r>
        <w:rPr>
          <w:rFonts w:hint="eastAsia" w:eastAsia="仿宋_GB2312"/>
          <w:sz w:val="32"/>
          <w:szCs w:val="32"/>
        </w:rPr>
        <w:t>社会保障和就业（类）行政事业单位养老支出（款）</w:t>
      </w:r>
      <w:bookmarkEnd w:id="56"/>
      <w:bookmarkEnd w:id="57"/>
      <w:r>
        <w:rPr>
          <w:rFonts w:hint="eastAsia" w:eastAsia="仿宋_GB2312"/>
          <w:sz w:val="32"/>
          <w:szCs w:val="32"/>
        </w:rPr>
        <w:t>机关事业单位基本养老保险缴费（项）</w:t>
      </w:r>
      <w:r>
        <w:rPr>
          <w:rFonts w:hint="eastAsia" w:eastAsia="仿宋_GB2312"/>
          <w:sz w:val="32"/>
          <w:szCs w:val="32"/>
          <w:lang w:eastAsia="zh-CN"/>
        </w:rPr>
        <w:t>：</w:t>
      </w:r>
      <w:r>
        <w:rPr>
          <w:rFonts w:eastAsia="仿宋_GB2312"/>
          <w:sz w:val="32"/>
          <w:szCs w:val="32"/>
        </w:rPr>
        <w:t xml:space="preserve"> </w:t>
      </w:r>
      <w:r>
        <w:rPr>
          <w:rFonts w:hint="eastAsia" w:eastAsia="仿宋_GB2312"/>
          <w:sz w:val="32"/>
          <w:szCs w:val="32"/>
        </w:rPr>
        <w:t>机关事业单位基本养老保险缴费支出决算为</w:t>
      </w:r>
      <w:r>
        <w:rPr>
          <w:rFonts w:eastAsia="仿宋_GB2312"/>
          <w:sz w:val="32"/>
          <w:szCs w:val="32"/>
        </w:rPr>
        <w:t>35.32</w:t>
      </w:r>
      <w:r>
        <w:rPr>
          <w:rFonts w:hint="eastAsia" w:eastAsia="仿宋_GB2312"/>
          <w:sz w:val="32"/>
          <w:szCs w:val="32"/>
        </w:rPr>
        <w:t>万元，完成预算</w:t>
      </w:r>
      <w:r>
        <w:rPr>
          <w:rFonts w:eastAsia="仿宋_GB2312"/>
          <w:sz w:val="32"/>
          <w:szCs w:val="32"/>
        </w:rPr>
        <w:t>100%</w:t>
      </w:r>
      <w:r>
        <w:rPr>
          <w:rFonts w:hint="eastAsia" w:eastAsia="仿宋_GB2312"/>
          <w:sz w:val="32"/>
          <w:szCs w:val="32"/>
        </w:rPr>
        <w:t>，与预算数持平。</w:t>
      </w:r>
      <w:bookmarkEnd w:id="54"/>
      <w:bookmarkEnd w:id="55"/>
    </w:p>
    <w:p w14:paraId="2058779C">
      <w:pPr>
        <w:spacing w:line="600" w:lineRule="exact"/>
        <w:ind w:firstLine="640"/>
        <w:rPr>
          <w:rFonts w:eastAsia="仿宋_GB2312"/>
          <w:sz w:val="32"/>
          <w:szCs w:val="32"/>
        </w:rPr>
      </w:pPr>
      <w:r>
        <w:rPr>
          <w:rFonts w:eastAsia="仿宋_GB2312"/>
          <w:sz w:val="32"/>
          <w:szCs w:val="32"/>
        </w:rPr>
        <w:t xml:space="preserve">3. </w:t>
      </w:r>
      <w:r>
        <w:rPr>
          <w:rFonts w:hint="eastAsia" w:eastAsia="仿宋_GB2312"/>
          <w:sz w:val="32"/>
          <w:szCs w:val="32"/>
        </w:rPr>
        <w:t>社会保障和就业（类）行政事业单位养老支出（款）机关事业单位职业年金缴费（项）</w:t>
      </w:r>
      <w:r>
        <w:rPr>
          <w:rFonts w:hint="eastAsia" w:eastAsia="仿宋_GB2312"/>
          <w:sz w:val="32"/>
          <w:szCs w:val="32"/>
          <w:lang w:eastAsia="zh-CN"/>
        </w:rPr>
        <w:t>：</w:t>
      </w:r>
      <w:r>
        <w:rPr>
          <w:rFonts w:eastAsia="仿宋_GB2312"/>
          <w:sz w:val="32"/>
          <w:szCs w:val="32"/>
        </w:rPr>
        <w:t xml:space="preserve"> </w:t>
      </w:r>
      <w:bookmarkStart w:id="58" w:name="OLE_LINK49"/>
      <w:bookmarkStart w:id="59" w:name="OLE_LINK50"/>
      <w:r>
        <w:rPr>
          <w:rFonts w:hint="eastAsia" w:eastAsia="仿宋_GB2312"/>
          <w:sz w:val="32"/>
          <w:szCs w:val="32"/>
        </w:rPr>
        <w:t>机关事业单位职业年金缴费</w:t>
      </w:r>
      <w:bookmarkEnd w:id="58"/>
      <w:bookmarkEnd w:id="59"/>
      <w:r>
        <w:rPr>
          <w:rFonts w:hint="eastAsia" w:eastAsia="仿宋_GB2312"/>
          <w:sz w:val="32"/>
          <w:szCs w:val="32"/>
        </w:rPr>
        <w:t>支出决算为</w:t>
      </w:r>
      <w:r>
        <w:rPr>
          <w:rFonts w:eastAsia="仿宋_GB2312"/>
          <w:sz w:val="32"/>
          <w:szCs w:val="32"/>
        </w:rPr>
        <w:t>6.35</w:t>
      </w:r>
      <w:r>
        <w:rPr>
          <w:rFonts w:hint="eastAsia" w:eastAsia="仿宋_GB2312"/>
          <w:sz w:val="32"/>
          <w:szCs w:val="32"/>
        </w:rPr>
        <w:t>万元，完成预算</w:t>
      </w:r>
      <w:r>
        <w:rPr>
          <w:rFonts w:eastAsia="仿宋_GB2312"/>
          <w:sz w:val="32"/>
          <w:szCs w:val="32"/>
        </w:rPr>
        <w:t>100%</w:t>
      </w:r>
      <w:r>
        <w:rPr>
          <w:rFonts w:hint="eastAsia" w:eastAsia="仿宋_GB2312"/>
          <w:sz w:val="32"/>
          <w:szCs w:val="32"/>
        </w:rPr>
        <w:t>，与预算数持平。</w:t>
      </w:r>
    </w:p>
    <w:p w14:paraId="2A6BBF8E">
      <w:pPr>
        <w:spacing w:line="600" w:lineRule="exact"/>
        <w:ind w:firstLine="640"/>
        <w:rPr>
          <w:rFonts w:eastAsia="仿宋_GB2312"/>
          <w:sz w:val="32"/>
          <w:szCs w:val="32"/>
        </w:rPr>
      </w:pPr>
      <w:r>
        <w:rPr>
          <w:rFonts w:eastAsia="仿宋_GB2312"/>
          <w:sz w:val="32"/>
          <w:szCs w:val="32"/>
        </w:rPr>
        <w:t>4.</w:t>
      </w:r>
      <w:bookmarkStart w:id="60" w:name="OLE_LINK26"/>
      <w:bookmarkStart w:id="61" w:name="OLE_LINK25"/>
      <w:r>
        <w:rPr>
          <w:rFonts w:hint="eastAsia" w:eastAsia="仿宋_GB2312"/>
          <w:sz w:val="32"/>
          <w:szCs w:val="32"/>
        </w:rPr>
        <w:t>卫生健康（类）行政事业单位医疗（款）事业单位医疗（项）：</w:t>
      </w:r>
      <w:bookmarkStart w:id="62" w:name="OLE_LINK51"/>
      <w:bookmarkStart w:id="63" w:name="OLE_LINK52"/>
      <w:r>
        <w:rPr>
          <w:rFonts w:hint="eastAsia" w:eastAsia="仿宋_GB2312"/>
          <w:sz w:val="32"/>
          <w:szCs w:val="32"/>
        </w:rPr>
        <w:t>事业单位医疗</w:t>
      </w:r>
      <w:bookmarkEnd w:id="62"/>
      <w:bookmarkEnd w:id="63"/>
      <w:r>
        <w:rPr>
          <w:rFonts w:hint="eastAsia" w:eastAsia="仿宋_GB2312"/>
          <w:sz w:val="32"/>
          <w:szCs w:val="32"/>
        </w:rPr>
        <w:t>支出决算为</w:t>
      </w:r>
      <w:r>
        <w:rPr>
          <w:rFonts w:eastAsia="仿宋_GB2312"/>
          <w:sz w:val="32"/>
          <w:szCs w:val="32"/>
        </w:rPr>
        <w:t>17.08</w:t>
      </w:r>
      <w:r>
        <w:rPr>
          <w:rFonts w:hint="eastAsia" w:eastAsia="仿宋_GB2312"/>
          <w:sz w:val="32"/>
          <w:szCs w:val="32"/>
        </w:rPr>
        <w:t>万元，完成预算</w:t>
      </w:r>
      <w:r>
        <w:rPr>
          <w:rFonts w:eastAsia="仿宋_GB2312"/>
          <w:sz w:val="32"/>
          <w:szCs w:val="32"/>
        </w:rPr>
        <w:t>100%</w:t>
      </w:r>
      <w:r>
        <w:rPr>
          <w:rFonts w:hint="eastAsia" w:eastAsia="仿宋_GB2312"/>
          <w:sz w:val="32"/>
          <w:szCs w:val="32"/>
        </w:rPr>
        <w:t>，与预算数持平。</w:t>
      </w:r>
      <w:bookmarkEnd w:id="60"/>
      <w:bookmarkEnd w:id="61"/>
    </w:p>
    <w:p w14:paraId="4E16A606">
      <w:pPr>
        <w:spacing w:line="600" w:lineRule="exact"/>
        <w:ind w:firstLine="640"/>
        <w:rPr>
          <w:rFonts w:eastAsia="仿宋_GB2312"/>
          <w:sz w:val="32"/>
          <w:szCs w:val="32"/>
        </w:rPr>
      </w:pPr>
      <w:r>
        <w:rPr>
          <w:rFonts w:eastAsia="仿宋_GB2312"/>
          <w:sz w:val="32"/>
          <w:szCs w:val="32"/>
        </w:rPr>
        <w:t>5.</w:t>
      </w:r>
      <w:r>
        <w:rPr>
          <w:rFonts w:hint="eastAsia" w:eastAsia="仿宋_GB2312"/>
          <w:sz w:val="32"/>
          <w:szCs w:val="32"/>
        </w:rPr>
        <w:t>卫生健康（类）行政事业单位医疗（款）公务员医疗补助（项）：</w:t>
      </w:r>
      <w:bookmarkStart w:id="64" w:name="OLE_LINK55"/>
      <w:bookmarkStart w:id="65" w:name="OLE_LINK54"/>
      <w:r>
        <w:rPr>
          <w:rFonts w:hint="eastAsia" w:eastAsia="仿宋_GB2312"/>
          <w:sz w:val="32"/>
          <w:szCs w:val="32"/>
        </w:rPr>
        <w:t>公务员医疗补助</w:t>
      </w:r>
      <w:bookmarkEnd w:id="64"/>
      <w:bookmarkEnd w:id="65"/>
      <w:r>
        <w:rPr>
          <w:rFonts w:hint="eastAsia" w:eastAsia="仿宋_GB2312"/>
          <w:sz w:val="32"/>
          <w:szCs w:val="32"/>
        </w:rPr>
        <w:t>支出决算为</w:t>
      </w:r>
      <w:r>
        <w:rPr>
          <w:rFonts w:eastAsia="仿宋_GB2312"/>
          <w:sz w:val="32"/>
          <w:szCs w:val="32"/>
        </w:rPr>
        <w:t>2.28</w:t>
      </w:r>
      <w:r>
        <w:rPr>
          <w:rFonts w:hint="eastAsia" w:eastAsia="仿宋_GB2312"/>
          <w:sz w:val="32"/>
          <w:szCs w:val="32"/>
        </w:rPr>
        <w:t>万元，完成预算</w:t>
      </w:r>
      <w:r>
        <w:rPr>
          <w:rFonts w:eastAsia="仿宋_GB2312"/>
          <w:sz w:val="32"/>
          <w:szCs w:val="32"/>
        </w:rPr>
        <w:t>100%</w:t>
      </w:r>
      <w:r>
        <w:rPr>
          <w:rFonts w:hint="eastAsia" w:eastAsia="仿宋_GB2312"/>
          <w:sz w:val="32"/>
          <w:szCs w:val="32"/>
        </w:rPr>
        <w:t>，与预算数持平。</w:t>
      </w:r>
    </w:p>
    <w:p w14:paraId="1E995DC6">
      <w:pPr>
        <w:spacing w:line="600" w:lineRule="exact"/>
        <w:ind w:firstLine="640"/>
        <w:rPr>
          <w:rFonts w:eastAsia="仿宋_GB2312"/>
          <w:sz w:val="32"/>
          <w:szCs w:val="32"/>
        </w:rPr>
      </w:pPr>
      <w:r>
        <w:rPr>
          <w:rFonts w:eastAsia="仿宋_GB2312"/>
          <w:sz w:val="32"/>
          <w:szCs w:val="32"/>
        </w:rPr>
        <w:t>6.</w:t>
      </w:r>
      <w:r>
        <w:rPr>
          <w:rFonts w:hint="eastAsia" w:eastAsia="仿宋_GB2312"/>
          <w:sz w:val="32"/>
          <w:szCs w:val="32"/>
        </w:rPr>
        <w:t>节能环保（类）自然生态保护（款）自然保护地（项）</w:t>
      </w:r>
      <w:r>
        <w:rPr>
          <w:rFonts w:hint="eastAsia" w:eastAsia="仿宋_GB2312"/>
          <w:sz w:val="32"/>
          <w:szCs w:val="32"/>
          <w:lang w:eastAsia="zh-CN"/>
        </w:rPr>
        <w:t>：</w:t>
      </w:r>
      <w:bookmarkStart w:id="66" w:name="OLE_LINK56"/>
      <w:bookmarkStart w:id="67" w:name="OLE_LINK57"/>
      <w:r>
        <w:rPr>
          <w:rFonts w:hint="eastAsia" w:eastAsia="仿宋_GB2312"/>
          <w:sz w:val="32"/>
          <w:szCs w:val="32"/>
        </w:rPr>
        <w:t>自然保护地</w:t>
      </w:r>
      <w:bookmarkEnd w:id="66"/>
      <w:bookmarkEnd w:id="67"/>
      <w:r>
        <w:rPr>
          <w:rFonts w:hint="eastAsia" w:eastAsia="仿宋_GB2312"/>
          <w:sz w:val="32"/>
          <w:szCs w:val="32"/>
        </w:rPr>
        <w:t>支出决算为</w:t>
      </w:r>
      <w:r>
        <w:rPr>
          <w:rFonts w:eastAsia="仿宋_GB2312"/>
          <w:sz w:val="32"/>
          <w:szCs w:val="32"/>
        </w:rPr>
        <w:t>457.52</w:t>
      </w:r>
      <w:r>
        <w:rPr>
          <w:rFonts w:hint="eastAsia" w:eastAsia="仿宋_GB2312"/>
          <w:sz w:val="32"/>
          <w:szCs w:val="32"/>
        </w:rPr>
        <w:t>万元，完成预算</w:t>
      </w:r>
      <w:r>
        <w:rPr>
          <w:rFonts w:eastAsia="仿宋_GB2312"/>
          <w:sz w:val="32"/>
          <w:szCs w:val="32"/>
        </w:rPr>
        <w:t>100%</w:t>
      </w:r>
      <w:bookmarkStart w:id="68" w:name="OLE_LINK33"/>
      <w:bookmarkStart w:id="69" w:name="OLE_LINK34"/>
      <w:r>
        <w:rPr>
          <w:rFonts w:hint="eastAsia" w:eastAsia="仿宋_GB2312"/>
          <w:sz w:val="32"/>
          <w:szCs w:val="32"/>
        </w:rPr>
        <w:t>，与预算数持平</w:t>
      </w:r>
      <w:bookmarkEnd w:id="68"/>
      <w:bookmarkEnd w:id="69"/>
      <w:r>
        <w:rPr>
          <w:rFonts w:hint="eastAsia" w:eastAsia="仿宋_GB2312"/>
          <w:sz w:val="32"/>
          <w:szCs w:val="32"/>
        </w:rPr>
        <w:t>。</w:t>
      </w:r>
    </w:p>
    <w:p w14:paraId="05766F87">
      <w:pPr>
        <w:spacing w:line="600" w:lineRule="exact"/>
        <w:ind w:firstLine="640"/>
        <w:rPr>
          <w:rFonts w:eastAsia="仿宋_GB2312"/>
          <w:sz w:val="32"/>
          <w:szCs w:val="32"/>
        </w:rPr>
      </w:pPr>
      <w:r>
        <w:rPr>
          <w:rFonts w:eastAsia="仿宋_GB2312"/>
          <w:sz w:val="32"/>
          <w:szCs w:val="32"/>
        </w:rPr>
        <w:t>7.</w:t>
      </w:r>
      <w:r>
        <w:rPr>
          <w:rFonts w:hint="eastAsia" w:eastAsia="仿宋_GB2312"/>
          <w:sz w:val="32"/>
          <w:szCs w:val="32"/>
        </w:rPr>
        <w:t>节能环保（类）森林保护修复（款）森林管护（项）</w:t>
      </w:r>
      <w:r>
        <w:rPr>
          <w:rFonts w:hint="eastAsia" w:eastAsia="仿宋_GB2312"/>
          <w:sz w:val="32"/>
          <w:szCs w:val="32"/>
          <w:lang w:eastAsia="zh-CN"/>
        </w:rPr>
        <w:t>：</w:t>
      </w:r>
      <w:r>
        <w:t xml:space="preserve"> </w:t>
      </w:r>
      <w:bookmarkStart w:id="70" w:name="OLE_LINK58"/>
      <w:bookmarkStart w:id="71" w:name="OLE_LINK59"/>
      <w:r>
        <w:rPr>
          <w:rFonts w:hint="eastAsia" w:eastAsia="仿宋_GB2312"/>
          <w:sz w:val="32"/>
          <w:szCs w:val="32"/>
        </w:rPr>
        <w:t>森林管护</w:t>
      </w:r>
      <w:bookmarkEnd w:id="70"/>
      <w:bookmarkEnd w:id="71"/>
      <w:r>
        <w:rPr>
          <w:rFonts w:hint="eastAsia" w:eastAsia="仿宋_GB2312"/>
          <w:sz w:val="32"/>
          <w:szCs w:val="32"/>
        </w:rPr>
        <w:t>支出决算为</w:t>
      </w:r>
      <w:r>
        <w:rPr>
          <w:rFonts w:eastAsia="仿宋_GB2312"/>
          <w:sz w:val="32"/>
          <w:szCs w:val="32"/>
        </w:rPr>
        <w:t>5.43</w:t>
      </w:r>
      <w:r>
        <w:rPr>
          <w:rFonts w:hint="eastAsia" w:eastAsia="仿宋_GB2312"/>
          <w:sz w:val="32"/>
          <w:szCs w:val="32"/>
        </w:rPr>
        <w:t>万元，完成预算</w:t>
      </w:r>
      <w:r>
        <w:rPr>
          <w:rFonts w:eastAsia="仿宋_GB2312"/>
          <w:sz w:val="32"/>
          <w:szCs w:val="32"/>
        </w:rPr>
        <w:t>100%</w:t>
      </w:r>
      <w:r>
        <w:rPr>
          <w:rFonts w:hint="eastAsia" w:eastAsia="仿宋_GB2312"/>
          <w:sz w:val="32"/>
          <w:szCs w:val="32"/>
        </w:rPr>
        <w:t>，与预算数持平。</w:t>
      </w:r>
    </w:p>
    <w:p w14:paraId="60C04B4E">
      <w:pPr>
        <w:spacing w:line="600" w:lineRule="exact"/>
        <w:ind w:firstLine="640"/>
        <w:rPr>
          <w:rFonts w:eastAsia="仿宋_GB2312"/>
          <w:sz w:val="32"/>
          <w:szCs w:val="32"/>
        </w:rPr>
      </w:pPr>
      <w:r>
        <w:rPr>
          <w:rFonts w:eastAsia="仿宋_GB2312"/>
          <w:sz w:val="32"/>
          <w:szCs w:val="32"/>
        </w:rPr>
        <w:t>8.</w:t>
      </w:r>
      <w:r>
        <w:rPr>
          <w:rFonts w:hint="eastAsia" w:eastAsia="仿宋_GB2312"/>
          <w:sz w:val="32"/>
          <w:szCs w:val="32"/>
        </w:rPr>
        <w:t>农林水（类）林业和草原（款）事业机构（项）</w:t>
      </w:r>
      <w:r>
        <w:rPr>
          <w:rFonts w:hint="eastAsia" w:eastAsia="仿宋_GB2312"/>
          <w:sz w:val="32"/>
          <w:szCs w:val="32"/>
          <w:lang w:eastAsia="zh-CN"/>
        </w:rPr>
        <w:t>：</w:t>
      </w:r>
      <w:r>
        <w:rPr>
          <w:rFonts w:eastAsia="仿宋_GB2312"/>
          <w:sz w:val="32"/>
          <w:szCs w:val="32"/>
        </w:rPr>
        <w:t xml:space="preserve"> </w:t>
      </w:r>
      <w:bookmarkStart w:id="72" w:name="OLE_LINK60"/>
      <w:r>
        <w:rPr>
          <w:rFonts w:hint="eastAsia" w:eastAsia="仿宋_GB2312"/>
          <w:sz w:val="32"/>
          <w:szCs w:val="32"/>
        </w:rPr>
        <w:t>事业机构</w:t>
      </w:r>
      <w:bookmarkEnd w:id="72"/>
      <w:r>
        <w:rPr>
          <w:rFonts w:hint="eastAsia" w:eastAsia="仿宋_GB2312"/>
          <w:sz w:val="32"/>
          <w:szCs w:val="32"/>
        </w:rPr>
        <w:t>支出决算为</w:t>
      </w:r>
      <w:r>
        <w:rPr>
          <w:rFonts w:eastAsia="仿宋_GB2312"/>
          <w:sz w:val="32"/>
          <w:szCs w:val="32"/>
        </w:rPr>
        <w:t>284.74</w:t>
      </w:r>
      <w:r>
        <w:rPr>
          <w:rFonts w:hint="eastAsia" w:eastAsia="仿宋_GB2312"/>
          <w:sz w:val="32"/>
          <w:szCs w:val="32"/>
        </w:rPr>
        <w:t>万元，完成预算</w:t>
      </w:r>
      <w:r>
        <w:rPr>
          <w:rFonts w:eastAsia="仿宋_GB2312"/>
          <w:sz w:val="32"/>
          <w:szCs w:val="32"/>
        </w:rPr>
        <w:t>100%</w:t>
      </w:r>
      <w:r>
        <w:rPr>
          <w:rFonts w:hint="eastAsia" w:eastAsia="仿宋_GB2312"/>
          <w:sz w:val="32"/>
          <w:szCs w:val="32"/>
        </w:rPr>
        <w:t>，与预算数持平。</w:t>
      </w:r>
    </w:p>
    <w:p w14:paraId="54741485">
      <w:pPr>
        <w:spacing w:line="600" w:lineRule="exact"/>
        <w:ind w:firstLine="640"/>
        <w:rPr>
          <w:rFonts w:eastAsia="仿宋_GB2312"/>
          <w:sz w:val="32"/>
          <w:szCs w:val="32"/>
        </w:rPr>
      </w:pPr>
      <w:r>
        <w:rPr>
          <w:rFonts w:eastAsia="仿宋_GB2312"/>
          <w:sz w:val="32"/>
          <w:szCs w:val="32"/>
        </w:rPr>
        <w:t>9.</w:t>
      </w:r>
      <w:r>
        <w:rPr>
          <w:rFonts w:hint="eastAsia" w:eastAsia="仿宋_GB2312"/>
          <w:sz w:val="32"/>
          <w:szCs w:val="32"/>
        </w:rPr>
        <w:t>农林水（类）林业和草原（款）动植物保护（项）</w:t>
      </w:r>
      <w:r>
        <w:rPr>
          <w:rFonts w:hint="eastAsia" w:eastAsia="仿宋_GB2312"/>
          <w:sz w:val="32"/>
          <w:szCs w:val="32"/>
          <w:lang w:eastAsia="zh-CN"/>
        </w:rPr>
        <w:t>：</w:t>
      </w:r>
      <w:r>
        <w:rPr>
          <w:rFonts w:eastAsia="仿宋_GB2312"/>
          <w:sz w:val="32"/>
          <w:szCs w:val="32"/>
        </w:rPr>
        <w:t xml:space="preserve"> </w:t>
      </w:r>
      <w:bookmarkStart w:id="73" w:name="OLE_LINK62"/>
      <w:bookmarkStart w:id="74" w:name="OLE_LINK61"/>
      <w:bookmarkStart w:id="75" w:name="OLE_LINK63"/>
      <w:r>
        <w:rPr>
          <w:rFonts w:hint="eastAsia" w:eastAsia="仿宋_GB2312"/>
          <w:sz w:val="32"/>
          <w:szCs w:val="32"/>
        </w:rPr>
        <w:t>动植物保护</w:t>
      </w:r>
      <w:bookmarkEnd w:id="73"/>
      <w:bookmarkEnd w:id="74"/>
      <w:bookmarkEnd w:id="75"/>
      <w:r>
        <w:rPr>
          <w:rFonts w:hint="eastAsia" w:eastAsia="仿宋_GB2312"/>
          <w:sz w:val="32"/>
          <w:szCs w:val="32"/>
        </w:rPr>
        <w:t>支出决算为</w:t>
      </w:r>
      <w:r>
        <w:rPr>
          <w:rFonts w:eastAsia="仿宋_GB2312"/>
          <w:sz w:val="32"/>
          <w:szCs w:val="32"/>
        </w:rPr>
        <w:t>2.7</w:t>
      </w:r>
      <w:r>
        <w:rPr>
          <w:rFonts w:hint="eastAsia" w:eastAsia="仿宋_GB2312"/>
          <w:sz w:val="32"/>
          <w:szCs w:val="32"/>
        </w:rPr>
        <w:t>万元，完成预算</w:t>
      </w:r>
      <w:r>
        <w:rPr>
          <w:rFonts w:eastAsia="仿宋_GB2312"/>
          <w:sz w:val="32"/>
          <w:szCs w:val="32"/>
        </w:rPr>
        <w:t>100%</w:t>
      </w:r>
      <w:r>
        <w:rPr>
          <w:rFonts w:hint="eastAsia" w:eastAsia="仿宋_GB2312"/>
          <w:sz w:val="32"/>
          <w:szCs w:val="32"/>
        </w:rPr>
        <w:t>，与预算数持平。</w:t>
      </w:r>
    </w:p>
    <w:p w14:paraId="1ED2DA2B">
      <w:pPr>
        <w:spacing w:line="600" w:lineRule="exact"/>
        <w:ind w:firstLine="640"/>
        <w:rPr>
          <w:rFonts w:eastAsia="仿宋_GB2312"/>
          <w:sz w:val="32"/>
          <w:szCs w:val="32"/>
        </w:rPr>
      </w:pPr>
      <w:r>
        <w:rPr>
          <w:rFonts w:eastAsia="仿宋_GB2312"/>
          <w:sz w:val="32"/>
          <w:szCs w:val="32"/>
        </w:rPr>
        <w:t>10.</w:t>
      </w:r>
      <w:r>
        <w:rPr>
          <w:rFonts w:hint="eastAsia" w:eastAsia="仿宋_GB2312"/>
          <w:sz w:val="32"/>
          <w:szCs w:val="32"/>
        </w:rPr>
        <w:t>农林水（类）林业和草原（款）其他林业和草原（项）</w:t>
      </w:r>
      <w:r>
        <w:rPr>
          <w:rFonts w:hint="eastAsia" w:eastAsia="仿宋_GB2312"/>
          <w:sz w:val="32"/>
          <w:szCs w:val="32"/>
          <w:lang w:eastAsia="zh-CN"/>
        </w:rPr>
        <w:t>：</w:t>
      </w:r>
      <w:r>
        <w:rPr>
          <w:rFonts w:eastAsia="仿宋_GB2312"/>
          <w:sz w:val="32"/>
          <w:szCs w:val="32"/>
        </w:rPr>
        <w:t xml:space="preserve"> </w:t>
      </w:r>
      <w:bookmarkStart w:id="76" w:name="OLE_LINK65"/>
      <w:bookmarkStart w:id="77" w:name="OLE_LINK64"/>
      <w:r>
        <w:rPr>
          <w:rFonts w:hint="eastAsia" w:eastAsia="仿宋_GB2312"/>
          <w:sz w:val="32"/>
          <w:szCs w:val="32"/>
        </w:rPr>
        <w:t>其他林业和草原</w:t>
      </w:r>
      <w:bookmarkEnd w:id="76"/>
      <w:bookmarkEnd w:id="77"/>
      <w:r>
        <w:rPr>
          <w:rFonts w:hint="eastAsia" w:eastAsia="仿宋_GB2312"/>
          <w:sz w:val="32"/>
          <w:szCs w:val="32"/>
        </w:rPr>
        <w:t>支出决算为</w:t>
      </w:r>
      <w:r>
        <w:rPr>
          <w:rFonts w:eastAsia="仿宋_GB2312"/>
          <w:sz w:val="32"/>
          <w:szCs w:val="32"/>
        </w:rPr>
        <w:t>433.02</w:t>
      </w:r>
      <w:r>
        <w:rPr>
          <w:rFonts w:hint="eastAsia" w:eastAsia="仿宋_GB2312"/>
          <w:sz w:val="32"/>
          <w:szCs w:val="32"/>
        </w:rPr>
        <w:t>万元，完成预算</w:t>
      </w:r>
      <w:r>
        <w:rPr>
          <w:rFonts w:eastAsia="仿宋_GB2312"/>
          <w:sz w:val="32"/>
          <w:szCs w:val="32"/>
        </w:rPr>
        <w:t>100%</w:t>
      </w:r>
      <w:r>
        <w:rPr>
          <w:rFonts w:hint="eastAsia" w:eastAsia="仿宋_GB2312"/>
          <w:sz w:val="32"/>
          <w:szCs w:val="32"/>
        </w:rPr>
        <w:t>，与预算数持平。</w:t>
      </w:r>
    </w:p>
    <w:p w14:paraId="3B40105B">
      <w:pPr>
        <w:spacing w:line="600" w:lineRule="exact"/>
        <w:ind w:firstLine="640"/>
      </w:pPr>
      <w:r>
        <w:rPr>
          <w:rFonts w:eastAsia="仿宋_GB2312"/>
          <w:sz w:val="32"/>
          <w:szCs w:val="32"/>
        </w:rPr>
        <w:t>11.</w:t>
      </w:r>
      <w:r>
        <w:rPr>
          <w:rFonts w:hint="eastAsia" w:eastAsia="仿宋_GB2312"/>
          <w:sz w:val="32"/>
          <w:szCs w:val="32"/>
        </w:rPr>
        <w:t>住房保障（类）住房改革（款）住房公积金（项）</w:t>
      </w:r>
      <w:r>
        <w:rPr>
          <w:rFonts w:hint="eastAsia" w:eastAsia="仿宋_GB2312"/>
          <w:sz w:val="32"/>
          <w:szCs w:val="32"/>
          <w:lang w:eastAsia="zh-CN"/>
        </w:rPr>
        <w:t>：</w:t>
      </w:r>
      <w:bookmarkStart w:id="78" w:name="OLE_LINK66"/>
      <w:r>
        <w:rPr>
          <w:rFonts w:hint="eastAsia" w:eastAsia="仿宋_GB2312"/>
          <w:sz w:val="32"/>
          <w:szCs w:val="32"/>
        </w:rPr>
        <w:t>住房公积金</w:t>
      </w:r>
      <w:bookmarkEnd w:id="78"/>
      <w:r>
        <w:rPr>
          <w:rFonts w:hint="eastAsia" w:eastAsia="仿宋_GB2312"/>
          <w:sz w:val="32"/>
          <w:szCs w:val="32"/>
        </w:rPr>
        <w:t>支出决算为</w:t>
      </w:r>
      <w:r>
        <w:rPr>
          <w:rFonts w:eastAsia="仿宋_GB2312"/>
          <w:sz w:val="32"/>
          <w:szCs w:val="32"/>
        </w:rPr>
        <w:t>27.16</w:t>
      </w:r>
      <w:r>
        <w:rPr>
          <w:rFonts w:hint="eastAsia" w:eastAsia="仿宋_GB2312"/>
          <w:sz w:val="32"/>
          <w:szCs w:val="32"/>
        </w:rPr>
        <w:t>万元，完成预算</w:t>
      </w:r>
      <w:r>
        <w:rPr>
          <w:rFonts w:eastAsia="仿宋_GB2312"/>
          <w:sz w:val="32"/>
          <w:szCs w:val="32"/>
        </w:rPr>
        <w:t>100%</w:t>
      </w:r>
      <w:r>
        <w:rPr>
          <w:rFonts w:hint="eastAsia" w:eastAsia="仿宋_GB2312"/>
          <w:sz w:val="32"/>
          <w:szCs w:val="32"/>
        </w:rPr>
        <w:t>，与预算数持平。</w:t>
      </w:r>
    </w:p>
    <w:p w14:paraId="42911172">
      <w:pPr>
        <w:tabs>
          <w:tab w:val="right" w:pos="8306"/>
        </w:tabs>
        <w:spacing w:line="600" w:lineRule="exact"/>
        <w:ind w:firstLine="640"/>
        <w:outlineLvl w:val="1"/>
        <w:rPr>
          <w:rStyle w:val="20"/>
          <w:rFonts w:ascii="Times New Roman" w:hAnsi="Times New Roman"/>
        </w:rPr>
      </w:pPr>
      <w:bookmarkStart w:id="79" w:name="_Toc15377214"/>
      <w:bookmarkStart w:id="80" w:name="_Toc15396608"/>
      <w:r>
        <w:rPr>
          <w:rFonts w:hint="eastAsia" w:eastAsia="黑体"/>
          <w:sz w:val="32"/>
          <w:szCs w:val="32"/>
        </w:rPr>
        <w:t>六</w:t>
      </w:r>
      <w:r>
        <w:rPr>
          <w:rFonts w:hint="eastAsia" w:eastAsia="黑体"/>
          <w:b/>
          <w:sz w:val="32"/>
          <w:szCs w:val="32"/>
        </w:rPr>
        <w:t>、一</w:t>
      </w:r>
      <w:r>
        <w:rPr>
          <w:rStyle w:val="20"/>
          <w:rFonts w:hint="eastAsia" w:ascii="Times New Roman" w:hAnsi="Times New Roman" w:eastAsia="黑体"/>
          <w:b w:val="0"/>
        </w:rPr>
        <w:t>般公共预算财政拨款基本支出决算情况说明</w:t>
      </w:r>
      <w:bookmarkEnd w:id="79"/>
      <w:bookmarkEnd w:id="80"/>
      <w:r>
        <w:rPr>
          <w:rStyle w:val="20"/>
          <w:rFonts w:ascii="Times New Roman" w:hAnsi="Times New Roman" w:eastAsia="黑体"/>
          <w:b w:val="0"/>
        </w:rPr>
        <w:tab/>
      </w:r>
    </w:p>
    <w:p w14:paraId="5C19B8DE">
      <w:pPr>
        <w:spacing w:line="600" w:lineRule="exact"/>
        <w:ind w:firstLine="640"/>
        <w:rPr>
          <w:rFonts w:eastAsia="仿宋_GB2312"/>
          <w:sz w:val="32"/>
          <w:szCs w:val="32"/>
        </w:rPr>
      </w:pPr>
      <w:r>
        <w:rPr>
          <w:rFonts w:eastAsia="仿宋_GB2312"/>
          <w:sz w:val="32"/>
          <w:szCs w:val="32"/>
        </w:rPr>
        <w:t>2024</w:t>
      </w:r>
      <w:r>
        <w:rPr>
          <w:rFonts w:hint="eastAsia" w:eastAsia="仿宋_GB2312"/>
          <w:sz w:val="32"/>
          <w:szCs w:val="32"/>
        </w:rPr>
        <w:t>年度一般公共预算财政拨款基本支出</w:t>
      </w:r>
      <w:r>
        <w:rPr>
          <w:rFonts w:eastAsia="仿宋_GB2312"/>
          <w:sz w:val="32"/>
          <w:szCs w:val="32"/>
        </w:rPr>
        <w:t>378.79</w:t>
      </w:r>
      <w:r>
        <w:rPr>
          <w:rFonts w:hint="eastAsia" w:eastAsia="仿宋_GB2312"/>
          <w:sz w:val="32"/>
          <w:szCs w:val="32"/>
        </w:rPr>
        <w:t>万元，其中：</w:t>
      </w:r>
    </w:p>
    <w:p w14:paraId="3C784739">
      <w:pPr>
        <w:spacing w:line="600" w:lineRule="exact"/>
        <w:ind w:firstLine="640"/>
        <w:rPr>
          <w:rFonts w:eastAsia="仿宋_GB2312"/>
          <w:sz w:val="32"/>
          <w:szCs w:val="32"/>
        </w:rPr>
      </w:pPr>
      <w:r>
        <w:rPr>
          <w:rFonts w:hint="eastAsia" w:eastAsia="仿宋_GB2312"/>
          <w:sz w:val="32"/>
          <w:szCs w:val="32"/>
        </w:rPr>
        <w:t>人员经费</w:t>
      </w:r>
      <w:r>
        <w:rPr>
          <w:rFonts w:eastAsia="仿宋_GB2312"/>
          <w:sz w:val="32"/>
          <w:szCs w:val="32"/>
        </w:rPr>
        <w:t>343.29</w:t>
      </w:r>
      <w:r>
        <w:rPr>
          <w:rFonts w:hint="eastAsia" w:eastAsia="仿宋_GB2312"/>
          <w:sz w:val="32"/>
          <w:szCs w:val="32"/>
        </w:rPr>
        <w:t>万元，主要包括：基本工资、津贴补贴、绩效工资、机关事业单位基本养老保险缴费、职业年金缴费、职工基本医疗保险缴费、公务员医疗补助缴费、其他社会保障缴费、生活补助、医疗费补助、住房公积金、奖励金、其他对个人和家庭的补助支出。</w:t>
      </w:r>
      <w:r>
        <w:rPr>
          <w:rFonts w:eastAsia="仿宋_GB2312"/>
          <w:sz w:val="32"/>
          <w:szCs w:val="32"/>
        </w:rPr>
        <w:br w:type="textWrapping"/>
      </w:r>
      <w:r>
        <w:rPr>
          <w:rFonts w:hint="eastAsia" w:eastAsia="仿宋_GB2312"/>
          <w:sz w:val="32"/>
          <w:szCs w:val="32"/>
        </w:rPr>
        <w:t>　　公用经费</w:t>
      </w:r>
      <w:r>
        <w:rPr>
          <w:rFonts w:eastAsia="仿宋_GB2312"/>
          <w:sz w:val="32"/>
          <w:szCs w:val="32"/>
        </w:rPr>
        <w:t>35.5</w:t>
      </w:r>
      <w:r>
        <w:rPr>
          <w:rFonts w:hint="eastAsia" w:eastAsia="仿宋_GB2312"/>
          <w:sz w:val="32"/>
          <w:szCs w:val="32"/>
        </w:rPr>
        <w:t>万元，主要包括：办公费、水费、电费、邮电费、培训费、差旅费、公务接待费、工会经费、福利费、公务用车运行维护费、其他交通费、其他商品和服务支出、</w:t>
      </w:r>
      <w:r>
        <w:rPr>
          <w:rFonts w:eastAsia="仿宋_GB2312"/>
          <w:sz w:val="32"/>
          <w:szCs w:val="32"/>
        </w:rPr>
        <w:t xml:space="preserve">  </w:t>
      </w:r>
      <w:r>
        <w:rPr>
          <w:rFonts w:hint="eastAsia" w:eastAsia="仿宋_GB2312"/>
          <w:sz w:val="32"/>
          <w:szCs w:val="32"/>
        </w:rPr>
        <w:t>资本性支出。</w:t>
      </w:r>
    </w:p>
    <w:p w14:paraId="065EDBF8">
      <w:pPr>
        <w:spacing w:line="600" w:lineRule="exact"/>
        <w:ind w:firstLine="640"/>
        <w:outlineLvl w:val="1"/>
        <w:rPr>
          <w:rStyle w:val="20"/>
          <w:rFonts w:ascii="Times New Roman" w:hAnsi="Times New Roman" w:eastAsia="黑体"/>
          <w:b w:val="0"/>
        </w:rPr>
      </w:pPr>
      <w:bookmarkStart w:id="81" w:name="_Toc15396609"/>
      <w:bookmarkStart w:id="82" w:name="_Toc15377215"/>
      <w:r>
        <w:rPr>
          <w:rFonts w:hint="eastAsia" w:eastAsia="黑体"/>
          <w:sz w:val="32"/>
          <w:szCs w:val="32"/>
        </w:rPr>
        <w:t>七、</w:t>
      </w:r>
      <w:r>
        <w:rPr>
          <w:rStyle w:val="20"/>
          <w:rFonts w:hint="eastAsia" w:ascii="Times New Roman" w:hAnsi="Times New Roman" w:eastAsia="黑体"/>
          <w:b w:val="0"/>
        </w:rPr>
        <w:t>财政拨款</w:t>
      </w:r>
      <w:r>
        <w:rPr>
          <w:rStyle w:val="20"/>
          <w:rFonts w:ascii="Times New Roman" w:hAnsi="Times New Roman" w:eastAsia="黑体"/>
        </w:rPr>
        <w:t>“</w:t>
      </w:r>
      <w:r>
        <w:rPr>
          <w:rStyle w:val="20"/>
          <w:rFonts w:hint="eastAsia" w:ascii="Times New Roman" w:hAnsi="Times New Roman" w:eastAsia="黑体"/>
          <w:b w:val="0"/>
        </w:rPr>
        <w:t>三公</w:t>
      </w:r>
      <w:r>
        <w:rPr>
          <w:rStyle w:val="20"/>
          <w:rFonts w:ascii="Times New Roman" w:hAnsi="Times New Roman" w:eastAsia="黑体"/>
          <w:b w:val="0"/>
        </w:rPr>
        <w:t>”</w:t>
      </w:r>
      <w:r>
        <w:rPr>
          <w:rStyle w:val="20"/>
          <w:rFonts w:hint="eastAsia" w:ascii="Times New Roman" w:hAnsi="Times New Roman" w:eastAsia="黑体"/>
          <w:b w:val="0"/>
        </w:rPr>
        <w:t>经费支出决算情况说明</w:t>
      </w:r>
      <w:bookmarkEnd w:id="81"/>
      <w:bookmarkEnd w:id="82"/>
    </w:p>
    <w:p w14:paraId="2278A649">
      <w:pPr>
        <w:spacing w:line="600" w:lineRule="exact"/>
        <w:ind w:firstLine="643" w:firstLineChars="200"/>
        <w:outlineLvl w:val="2"/>
        <w:rPr>
          <w:rFonts w:eastAsia="楷体_GB2312"/>
          <w:b/>
          <w:sz w:val="32"/>
          <w:szCs w:val="32"/>
        </w:rPr>
      </w:pPr>
      <w:bookmarkStart w:id="83" w:name="_Toc15377216"/>
      <w:r>
        <w:rPr>
          <w:rFonts w:hint="eastAsia" w:eastAsia="楷体_GB2312"/>
          <w:b/>
          <w:sz w:val="32"/>
          <w:szCs w:val="32"/>
        </w:rPr>
        <w:t>（一）</w:t>
      </w:r>
      <w:r>
        <w:rPr>
          <w:rFonts w:eastAsia="楷体_GB2312"/>
          <w:b/>
          <w:sz w:val="32"/>
          <w:szCs w:val="32"/>
        </w:rPr>
        <w:t>“</w:t>
      </w:r>
      <w:r>
        <w:rPr>
          <w:rFonts w:hint="eastAsia" w:eastAsia="楷体_GB2312"/>
          <w:b/>
          <w:sz w:val="32"/>
          <w:szCs w:val="32"/>
        </w:rPr>
        <w:t>三公</w:t>
      </w:r>
      <w:r>
        <w:rPr>
          <w:rFonts w:eastAsia="楷体_GB2312"/>
          <w:b/>
          <w:sz w:val="32"/>
          <w:szCs w:val="32"/>
        </w:rPr>
        <w:t>”</w:t>
      </w:r>
      <w:r>
        <w:rPr>
          <w:rFonts w:hint="eastAsia" w:eastAsia="楷体_GB2312"/>
          <w:b/>
          <w:sz w:val="32"/>
          <w:szCs w:val="32"/>
        </w:rPr>
        <w:t>经费财政拨款支出决算总体情况说明</w:t>
      </w:r>
      <w:bookmarkEnd w:id="83"/>
    </w:p>
    <w:p w14:paraId="3F5597DF">
      <w:pPr>
        <w:spacing w:line="600" w:lineRule="exact"/>
        <w:ind w:firstLine="640"/>
        <w:rPr>
          <w:rFonts w:eastAsia="仿宋_GB2312"/>
          <w:sz w:val="32"/>
          <w:szCs w:val="32"/>
        </w:rPr>
      </w:pPr>
      <w:r>
        <w:rPr>
          <w:rFonts w:eastAsia="仿宋_GB2312"/>
          <w:sz w:val="32"/>
          <w:szCs w:val="32"/>
        </w:rPr>
        <w:t>2024</w:t>
      </w:r>
      <w:r>
        <w:rPr>
          <w:rFonts w:hint="eastAsia" w:eastAsia="仿宋_GB2312"/>
          <w:sz w:val="32"/>
          <w:szCs w:val="32"/>
        </w:rPr>
        <w:t>年度</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经费财政拨款支出决算为</w:t>
      </w:r>
      <w:r>
        <w:rPr>
          <w:rFonts w:eastAsia="仿宋_GB2312"/>
          <w:sz w:val="32"/>
          <w:szCs w:val="32"/>
        </w:rPr>
        <w:t>7.5</w:t>
      </w:r>
      <w:r>
        <w:rPr>
          <w:rFonts w:hint="eastAsia" w:eastAsia="仿宋_GB2312"/>
          <w:sz w:val="32"/>
          <w:szCs w:val="32"/>
        </w:rPr>
        <w:t>万元，完成预算</w:t>
      </w:r>
      <w:r>
        <w:rPr>
          <w:rFonts w:eastAsia="仿宋_GB2312"/>
          <w:sz w:val="32"/>
          <w:szCs w:val="32"/>
        </w:rPr>
        <w:t>100%</w:t>
      </w:r>
      <w:r>
        <w:rPr>
          <w:rFonts w:hint="eastAsia" w:eastAsia="仿宋_GB2312"/>
          <w:sz w:val="32"/>
          <w:szCs w:val="32"/>
        </w:rPr>
        <w:t>，较上年度增加</w:t>
      </w:r>
      <w:r>
        <w:rPr>
          <w:rFonts w:eastAsia="仿宋_GB2312"/>
          <w:sz w:val="32"/>
          <w:szCs w:val="32"/>
        </w:rPr>
        <w:t>0.24</w:t>
      </w:r>
      <w:r>
        <w:rPr>
          <w:rFonts w:hint="eastAsia" w:eastAsia="仿宋_GB2312"/>
          <w:sz w:val="32"/>
          <w:szCs w:val="32"/>
        </w:rPr>
        <w:t>万元，增长</w:t>
      </w:r>
      <w:r>
        <w:rPr>
          <w:rFonts w:eastAsia="仿宋_GB2312"/>
          <w:sz w:val="32"/>
          <w:szCs w:val="32"/>
        </w:rPr>
        <w:t>3.3%</w:t>
      </w:r>
      <w:r>
        <w:rPr>
          <w:rFonts w:hint="eastAsia" w:eastAsia="仿宋_GB2312"/>
          <w:sz w:val="32"/>
          <w:szCs w:val="32"/>
        </w:rPr>
        <w:t>。决算数与预算数持平。</w:t>
      </w:r>
    </w:p>
    <w:p w14:paraId="02D7BA9D">
      <w:pPr>
        <w:spacing w:line="600" w:lineRule="exact"/>
        <w:ind w:firstLine="643" w:firstLineChars="200"/>
        <w:outlineLvl w:val="2"/>
        <w:rPr>
          <w:rFonts w:eastAsia="楷体_GB2312"/>
          <w:b/>
          <w:sz w:val="32"/>
          <w:szCs w:val="32"/>
        </w:rPr>
      </w:pPr>
      <w:bookmarkStart w:id="84" w:name="_Toc15377217"/>
      <w:r>
        <w:rPr>
          <w:rFonts w:hint="eastAsia" w:eastAsia="楷体_GB2312"/>
          <w:b/>
          <w:sz w:val="32"/>
          <w:szCs w:val="32"/>
        </w:rPr>
        <w:t>（二）</w:t>
      </w:r>
      <w:r>
        <w:rPr>
          <w:rFonts w:eastAsia="楷体_GB2312"/>
          <w:b/>
          <w:sz w:val="32"/>
          <w:szCs w:val="32"/>
        </w:rPr>
        <w:t>“</w:t>
      </w:r>
      <w:r>
        <w:rPr>
          <w:rFonts w:hint="eastAsia" w:eastAsia="楷体_GB2312"/>
          <w:b/>
          <w:sz w:val="32"/>
          <w:szCs w:val="32"/>
        </w:rPr>
        <w:t>三公</w:t>
      </w:r>
      <w:r>
        <w:rPr>
          <w:rFonts w:eastAsia="楷体_GB2312"/>
          <w:b/>
          <w:sz w:val="32"/>
          <w:szCs w:val="32"/>
        </w:rPr>
        <w:t>”</w:t>
      </w:r>
      <w:r>
        <w:rPr>
          <w:rFonts w:hint="eastAsia" w:eastAsia="楷体_GB2312"/>
          <w:b/>
          <w:sz w:val="32"/>
          <w:szCs w:val="32"/>
        </w:rPr>
        <w:t>经费财政拨款支出决算具体情况说明</w:t>
      </w:r>
      <w:bookmarkEnd w:id="84"/>
    </w:p>
    <w:p w14:paraId="4A102E9B">
      <w:pPr>
        <w:spacing w:line="600" w:lineRule="exact"/>
        <w:ind w:firstLine="640"/>
        <w:rPr>
          <w:rFonts w:eastAsia="仿宋_GB2312"/>
          <w:sz w:val="32"/>
          <w:szCs w:val="32"/>
        </w:rPr>
      </w:pPr>
      <w:r>
        <w:rPr>
          <w:rFonts w:eastAsia="仿宋_GB2312"/>
          <w:sz w:val="32"/>
          <w:szCs w:val="32"/>
        </w:rPr>
        <w:t>2024</w:t>
      </w:r>
      <w:r>
        <w:rPr>
          <w:rFonts w:hint="eastAsia" w:eastAsia="仿宋_GB2312"/>
          <w:sz w:val="32"/>
          <w:szCs w:val="32"/>
        </w:rPr>
        <w:t>年度</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经费财政拨款支出决算中，因公出国（境）费支出决算</w:t>
      </w:r>
      <w:r>
        <w:rPr>
          <w:rFonts w:eastAsia="仿宋_GB2312"/>
          <w:sz w:val="32"/>
          <w:szCs w:val="32"/>
        </w:rPr>
        <w:t>0</w:t>
      </w:r>
      <w:r>
        <w:rPr>
          <w:rFonts w:hint="eastAsia" w:eastAsia="仿宋_GB2312"/>
          <w:sz w:val="32"/>
          <w:szCs w:val="32"/>
        </w:rPr>
        <w:t>万元，占</w:t>
      </w:r>
      <w:r>
        <w:rPr>
          <w:rFonts w:eastAsia="仿宋_GB2312"/>
          <w:sz w:val="32"/>
          <w:szCs w:val="32"/>
        </w:rPr>
        <w:t>0%</w:t>
      </w:r>
      <w:r>
        <w:rPr>
          <w:rFonts w:hint="eastAsia" w:eastAsia="仿宋_GB2312"/>
          <w:sz w:val="32"/>
          <w:szCs w:val="32"/>
        </w:rPr>
        <w:t>；</w:t>
      </w:r>
      <w:bookmarkStart w:id="85" w:name="OLE_LINK42"/>
      <w:r>
        <w:rPr>
          <w:rFonts w:hint="eastAsia" w:eastAsia="仿宋_GB2312"/>
          <w:sz w:val="32"/>
          <w:szCs w:val="32"/>
        </w:rPr>
        <w:t>公务用车购置及运行维护费支出</w:t>
      </w:r>
      <w:bookmarkEnd w:id="85"/>
      <w:r>
        <w:rPr>
          <w:rFonts w:hint="eastAsia" w:eastAsia="仿宋_GB2312"/>
          <w:sz w:val="32"/>
          <w:szCs w:val="32"/>
        </w:rPr>
        <w:t>决算</w:t>
      </w:r>
      <w:r>
        <w:rPr>
          <w:rFonts w:eastAsia="仿宋_GB2312"/>
          <w:sz w:val="32"/>
          <w:szCs w:val="32"/>
        </w:rPr>
        <w:t>7.17</w:t>
      </w:r>
      <w:r>
        <w:rPr>
          <w:rFonts w:hint="eastAsia" w:eastAsia="仿宋_GB2312"/>
          <w:sz w:val="32"/>
          <w:szCs w:val="32"/>
        </w:rPr>
        <w:t>万元，占</w:t>
      </w:r>
      <w:r>
        <w:rPr>
          <w:rFonts w:eastAsia="仿宋_GB2312"/>
          <w:sz w:val="32"/>
          <w:szCs w:val="32"/>
        </w:rPr>
        <w:t>95.6%</w:t>
      </w:r>
      <w:r>
        <w:rPr>
          <w:rFonts w:hint="eastAsia" w:eastAsia="仿宋_GB2312"/>
          <w:sz w:val="32"/>
          <w:szCs w:val="32"/>
        </w:rPr>
        <w:t>；公务接待费支出决算</w:t>
      </w:r>
      <w:r>
        <w:rPr>
          <w:rFonts w:eastAsia="仿宋_GB2312"/>
          <w:sz w:val="32"/>
          <w:szCs w:val="32"/>
        </w:rPr>
        <w:t>0.33</w:t>
      </w:r>
      <w:r>
        <w:rPr>
          <w:rFonts w:hint="eastAsia" w:eastAsia="仿宋_GB2312"/>
          <w:sz w:val="32"/>
          <w:szCs w:val="32"/>
        </w:rPr>
        <w:t>万元，占</w:t>
      </w:r>
      <w:r>
        <w:rPr>
          <w:rFonts w:eastAsia="仿宋_GB2312"/>
          <w:sz w:val="32"/>
          <w:szCs w:val="32"/>
        </w:rPr>
        <w:t>4.4%</w:t>
      </w:r>
      <w:r>
        <w:rPr>
          <w:rFonts w:hint="eastAsia" w:eastAsia="仿宋_GB2312"/>
          <w:sz w:val="32"/>
          <w:szCs w:val="32"/>
        </w:rPr>
        <w:t>。具体情况如下：</w:t>
      </w:r>
    </w:p>
    <w:p w14:paraId="4A3EE717">
      <w:pPr>
        <w:pStyle w:val="2"/>
        <w:ind w:firstLine="567" w:firstLineChars="315"/>
        <w:jc w:val="center"/>
      </w:pPr>
      <w:r>
        <w:pict>
          <v:shape id="_x0000_i1028" o:spt="75" type="#_x0000_t75" style="height:153pt;width:279.75pt;" filled="f" o:preferrelative="t" stroked="f" coordsize="21600,21600">
            <v:path/>
            <v:fill on="f" focussize="0,0"/>
            <v:stroke on="f" joinstyle="miter"/>
            <v:imagedata r:id="rId14" o:title=""/>
            <o:lock v:ext="edit" aspectratio="t"/>
            <w10:wrap type="none"/>
            <w10:anchorlock/>
          </v:shape>
        </w:pict>
      </w:r>
    </w:p>
    <w:p w14:paraId="091A8F8A">
      <w:pPr>
        <w:spacing w:line="600" w:lineRule="exact"/>
        <w:ind w:firstLine="640"/>
        <w:rPr>
          <w:rFonts w:eastAsia="仿宋_GB2312"/>
          <w:sz w:val="32"/>
          <w:szCs w:val="32"/>
        </w:rPr>
      </w:pPr>
      <w:r>
        <w:rPr>
          <w:rFonts w:eastAsia="仿宋_GB2312"/>
          <w:b/>
          <w:bCs/>
          <w:sz w:val="32"/>
          <w:szCs w:val="32"/>
        </w:rPr>
        <w:t>1.</w:t>
      </w:r>
      <w:r>
        <w:rPr>
          <w:rFonts w:hint="eastAsia" w:eastAsia="仿宋_GB2312"/>
          <w:b/>
          <w:bCs/>
          <w:sz w:val="32"/>
          <w:szCs w:val="32"/>
        </w:rPr>
        <w:t>因公出国（境）经费支出</w:t>
      </w:r>
      <w:r>
        <w:rPr>
          <w:rFonts w:eastAsia="仿宋_GB2312"/>
          <w:b/>
          <w:bCs/>
          <w:sz w:val="32"/>
          <w:szCs w:val="32"/>
        </w:rPr>
        <w:t>0</w:t>
      </w:r>
      <w:r>
        <w:rPr>
          <w:rFonts w:hint="eastAsia" w:eastAsia="仿宋_GB2312"/>
          <w:b/>
          <w:bCs/>
          <w:sz w:val="32"/>
          <w:szCs w:val="32"/>
        </w:rPr>
        <w:t>万元，</w:t>
      </w:r>
      <w:r>
        <w:rPr>
          <w:rFonts w:hint="eastAsia" w:eastAsia="仿宋_GB2312"/>
          <w:sz w:val="32"/>
          <w:szCs w:val="32"/>
        </w:rPr>
        <w:t>全年未安排因公出国（境）团组。</w:t>
      </w:r>
    </w:p>
    <w:p w14:paraId="4E6AB921">
      <w:pPr>
        <w:spacing w:line="600" w:lineRule="exact"/>
        <w:ind w:firstLine="640"/>
        <w:rPr>
          <w:rFonts w:eastAsia="仿宋_GB2312"/>
          <w:sz w:val="32"/>
          <w:szCs w:val="32"/>
        </w:rPr>
      </w:pPr>
      <w:r>
        <w:rPr>
          <w:rFonts w:eastAsia="仿宋_GB2312"/>
          <w:b/>
          <w:bCs/>
          <w:sz w:val="32"/>
          <w:szCs w:val="32"/>
        </w:rPr>
        <w:t>2.</w:t>
      </w:r>
      <w:r>
        <w:rPr>
          <w:rFonts w:hint="eastAsia" w:eastAsia="仿宋_GB2312"/>
          <w:b/>
          <w:bCs/>
          <w:sz w:val="32"/>
          <w:szCs w:val="32"/>
        </w:rPr>
        <w:t>公务用车购置及运行维护费支出</w:t>
      </w:r>
      <w:r>
        <w:rPr>
          <w:rFonts w:eastAsia="仿宋_GB2312"/>
          <w:b/>
          <w:bCs/>
          <w:sz w:val="32"/>
          <w:szCs w:val="32"/>
        </w:rPr>
        <w:t>7.17</w:t>
      </w:r>
      <w:r>
        <w:rPr>
          <w:rFonts w:hint="eastAsia" w:eastAsia="仿宋_GB2312"/>
          <w:b/>
          <w:bCs/>
          <w:sz w:val="32"/>
          <w:szCs w:val="32"/>
        </w:rPr>
        <w:t>万元，完成预算</w:t>
      </w:r>
      <w:r>
        <w:rPr>
          <w:rFonts w:eastAsia="仿宋_GB2312"/>
          <w:b/>
          <w:bCs/>
          <w:sz w:val="32"/>
          <w:szCs w:val="32"/>
        </w:rPr>
        <w:t>100%</w:t>
      </w:r>
      <w:r>
        <w:rPr>
          <w:rFonts w:hint="eastAsia" w:eastAsia="仿宋_GB2312"/>
          <w:b/>
          <w:bCs/>
          <w:sz w:val="32"/>
          <w:szCs w:val="32"/>
        </w:rPr>
        <w:t>。</w:t>
      </w:r>
      <w:r>
        <w:rPr>
          <w:rFonts w:hint="eastAsia" w:eastAsia="仿宋_GB2312"/>
          <w:sz w:val="32"/>
          <w:szCs w:val="32"/>
        </w:rPr>
        <w:t>公务用车购置及运行维护费支出决算比</w:t>
      </w:r>
      <w:r>
        <w:rPr>
          <w:rFonts w:eastAsia="仿宋_GB2312"/>
          <w:sz w:val="32"/>
          <w:szCs w:val="32"/>
        </w:rPr>
        <w:t>2023</w:t>
      </w:r>
      <w:r>
        <w:rPr>
          <w:rFonts w:hint="eastAsia" w:eastAsia="仿宋_GB2312"/>
          <w:sz w:val="32"/>
          <w:szCs w:val="32"/>
        </w:rPr>
        <w:t>年度增加</w:t>
      </w:r>
      <w:r>
        <w:rPr>
          <w:rFonts w:eastAsia="仿宋_GB2312"/>
          <w:sz w:val="32"/>
          <w:szCs w:val="32"/>
        </w:rPr>
        <w:t>0.17</w:t>
      </w:r>
      <w:r>
        <w:rPr>
          <w:rFonts w:hint="eastAsia" w:eastAsia="仿宋_GB2312"/>
          <w:sz w:val="32"/>
          <w:szCs w:val="32"/>
        </w:rPr>
        <w:t>万元，增长</w:t>
      </w:r>
      <w:r>
        <w:rPr>
          <w:rFonts w:eastAsia="仿宋_GB2312"/>
          <w:sz w:val="32"/>
          <w:szCs w:val="32"/>
        </w:rPr>
        <w:t>2.4%</w:t>
      </w:r>
      <w:r>
        <w:rPr>
          <w:rFonts w:hint="eastAsia" w:eastAsia="仿宋_GB2312"/>
          <w:sz w:val="32"/>
          <w:szCs w:val="32"/>
        </w:rPr>
        <w:t>。主要原因是森林防火期间车辆运行时长增加。</w:t>
      </w:r>
    </w:p>
    <w:p w14:paraId="2CFE819F">
      <w:pPr>
        <w:spacing w:line="600" w:lineRule="exact"/>
        <w:ind w:firstLine="640"/>
        <w:rPr>
          <w:rFonts w:eastAsia="仿宋_GB2312"/>
          <w:sz w:val="32"/>
          <w:szCs w:val="32"/>
        </w:rPr>
      </w:pPr>
      <w:r>
        <w:rPr>
          <w:rFonts w:hint="eastAsia" w:eastAsia="仿宋_GB2312"/>
          <w:sz w:val="32"/>
          <w:szCs w:val="32"/>
        </w:rPr>
        <w:t>其中：公务用车购置支出</w:t>
      </w:r>
      <w:r>
        <w:rPr>
          <w:rFonts w:eastAsia="仿宋_GB2312"/>
          <w:sz w:val="32"/>
          <w:szCs w:val="32"/>
        </w:rPr>
        <w:t>0</w:t>
      </w:r>
      <w:r>
        <w:rPr>
          <w:rFonts w:hint="eastAsia" w:eastAsia="仿宋_GB2312"/>
          <w:sz w:val="32"/>
          <w:szCs w:val="32"/>
        </w:rPr>
        <w:t>万元。全年按规定更新购置公务用车</w:t>
      </w:r>
      <w:r>
        <w:rPr>
          <w:rFonts w:eastAsia="仿宋_GB2312"/>
          <w:sz w:val="32"/>
          <w:szCs w:val="32"/>
        </w:rPr>
        <w:t>0</w:t>
      </w:r>
      <w:r>
        <w:rPr>
          <w:rFonts w:hint="eastAsia" w:eastAsia="仿宋_GB2312"/>
          <w:sz w:val="32"/>
          <w:szCs w:val="32"/>
        </w:rPr>
        <w:t>辆。截至</w:t>
      </w:r>
      <w:r>
        <w:rPr>
          <w:rFonts w:eastAsia="仿宋_GB2312"/>
          <w:sz w:val="32"/>
          <w:szCs w:val="32"/>
        </w:rPr>
        <w:t>2024</w:t>
      </w:r>
      <w:r>
        <w:rPr>
          <w:rFonts w:hint="eastAsia" w:eastAsia="仿宋_GB2312"/>
          <w:sz w:val="32"/>
          <w:szCs w:val="32"/>
        </w:rPr>
        <w:t>年</w:t>
      </w:r>
      <w:r>
        <w:rPr>
          <w:rFonts w:eastAsia="仿宋_GB2312"/>
          <w:sz w:val="32"/>
          <w:szCs w:val="32"/>
        </w:rPr>
        <w:t>12</w:t>
      </w:r>
      <w:r>
        <w:rPr>
          <w:rFonts w:hint="eastAsia" w:eastAsia="仿宋_GB2312"/>
          <w:sz w:val="32"/>
          <w:szCs w:val="32"/>
        </w:rPr>
        <w:t>月</w:t>
      </w:r>
      <w:r>
        <w:rPr>
          <w:rFonts w:eastAsia="仿宋_GB2312"/>
          <w:sz w:val="32"/>
          <w:szCs w:val="32"/>
        </w:rPr>
        <w:t>31</w:t>
      </w:r>
      <w:r>
        <w:rPr>
          <w:rFonts w:hint="eastAsia" w:eastAsia="仿宋_GB2312"/>
          <w:sz w:val="32"/>
          <w:szCs w:val="32"/>
        </w:rPr>
        <w:t>日，单位共有公务用车</w:t>
      </w:r>
      <w:r>
        <w:rPr>
          <w:rFonts w:eastAsia="仿宋_GB2312"/>
          <w:sz w:val="32"/>
          <w:szCs w:val="32"/>
        </w:rPr>
        <w:t>4</w:t>
      </w:r>
      <w:r>
        <w:rPr>
          <w:rFonts w:hint="eastAsia" w:eastAsia="仿宋_GB2312"/>
          <w:sz w:val="32"/>
          <w:szCs w:val="32"/>
        </w:rPr>
        <w:t>辆，其中：轿车</w:t>
      </w:r>
      <w:r>
        <w:rPr>
          <w:rFonts w:eastAsia="仿宋_GB2312"/>
          <w:sz w:val="32"/>
          <w:szCs w:val="32"/>
        </w:rPr>
        <w:t>1</w:t>
      </w:r>
      <w:r>
        <w:rPr>
          <w:rFonts w:hint="eastAsia" w:eastAsia="仿宋_GB2312"/>
          <w:sz w:val="32"/>
          <w:szCs w:val="32"/>
        </w:rPr>
        <w:t>辆、越野车</w:t>
      </w:r>
      <w:r>
        <w:rPr>
          <w:rFonts w:eastAsia="仿宋_GB2312"/>
          <w:sz w:val="32"/>
          <w:szCs w:val="32"/>
        </w:rPr>
        <w:t>3</w:t>
      </w:r>
      <w:r>
        <w:rPr>
          <w:rFonts w:hint="eastAsia" w:eastAsia="仿宋_GB2312"/>
          <w:sz w:val="32"/>
          <w:szCs w:val="32"/>
        </w:rPr>
        <w:t>辆。</w:t>
      </w:r>
    </w:p>
    <w:p w14:paraId="71A5A63D">
      <w:pPr>
        <w:spacing w:line="600" w:lineRule="exact"/>
        <w:ind w:firstLine="640"/>
        <w:rPr>
          <w:rFonts w:eastAsia="仿宋_GB2312"/>
          <w:sz w:val="32"/>
          <w:szCs w:val="32"/>
        </w:rPr>
      </w:pPr>
      <w:r>
        <w:rPr>
          <w:rFonts w:hint="eastAsia" w:eastAsia="仿宋_GB2312"/>
          <w:sz w:val="32"/>
          <w:szCs w:val="32"/>
        </w:rPr>
        <w:t>公务用车运行维护费支出</w:t>
      </w:r>
      <w:r>
        <w:rPr>
          <w:rFonts w:eastAsia="仿宋_GB2312"/>
          <w:sz w:val="32"/>
          <w:szCs w:val="32"/>
        </w:rPr>
        <w:t>7.17</w:t>
      </w:r>
      <w:r>
        <w:rPr>
          <w:rFonts w:hint="eastAsia" w:eastAsia="仿宋_GB2312"/>
          <w:sz w:val="32"/>
          <w:szCs w:val="32"/>
        </w:rPr>
        <w:t>万元。主要用于保护区开展日常工作、野外巡护、火情监测以及项目建设管理等所需的公务用车燃料费、维修费、过路过桥费、保险费等支出。</w:t>
      </w:r>
    </w:p>
    <w:p w14:paraId="11630AF8">
      <w:pPr>
        <w:spacing w:line="600" w:lineRule="exact"/>
        <w:ind w:firstLine="640"/>
        <w:rPr>
          <w:rFonts w:eastAsia="仿宋_GB2312"/>
          <w:sz w:val="32"/>
          <w:szCs w:val="32"/>
        </w:rPr>
      </w:pPr>
      <w:r>
        <w:rPr>
          <w:rFonts w:eastAsia="仿宋_GB2312"/>
          <w:b/>
          <w:bCs/>
          <w:sz w:val="32"/>
          <w:szCs w:val="32"/>
        </w:rPr>
        <w:t>3.</w:t>
      </w:r>
      <w:r>
        <w:rPr>
          <w:rFonts w:hint="eastAsia" w:eastAsia="仿宋_GB2312"/>
          <w:b/>
          <w:bCs/>
          <w:sz w:val="32"/>
          <w:szCs w:val="32"/>
        </w:rPr>
        <w:t>公务接待费支出</w:t>
      </w:r>
      <w:r>
        <w:rPr>
          <w:rFonts w:eastAsia="仿宋_GB2312"/>
          <w:b/>
          <w:bCs/>
          <w:sz w:val="32"/>
          <w:szCs w:val="32"/>
        </w:rPr>
        <w:t>0.33</w:t>
      </w:r>
      <w:r>
        <w:rPr>
          <w:rFonts w:hint="eastAsia" w:eastAsia="仿宋_GB2312"/>
          <w:b/>
          <w:bCs/>
          <w:sz w:val="32"/>
          <w:szCs w:val="32"/>
        </w:rPr>
        <w:t>万元，完成预算</w:t>
      </w:r>
      <w:r>
        <w:rPr>
          <w:rFonts w:eastAsia="仿宋_GB2312"/>
          <w:b/>
          <w:bCs/>
          <w:sz w:val="32"/>
          <w:szCs w:val="32"/>
        </w:rPr>
        <w:t>100%</w:t>
      </w:r>
      <w:r>
        <w:rPr>
          <w:rFonts w:hint="eastAsia" w:eastAsia="仿宋_GB2312"/>
          <w:b/>
          <w:bCs/>
          <w:sz w:val="32"/>
          <w:szCs w:val="32"/>
        </w:rPr>
        <w:t>。</w:t>
      </w:r>
      <w:r>
        <w:rPr>
          <w:rFonts w:hint="eastAsia" w:eastAsia="仿宋_GB2312"/>
          <w:sz w:val="32"/>
          <w:szCs w:val="32"/>
        </w:rPr>
        <w:t>公务接待费支出决算比</w:t>
      </w:r>
      <w:r>
        <w:rPr>
          <w:rFonts w:eastAsia="仿宋_GB2312"/>
          <w:sz w:val="32"/>
          <w:szCs w:val="32"/>
        </w:rPr>
        <w:t>2023</w:t>
      </w:r>
      <w:r>
        <w:rPr>
          <w:rFonts w:hint="eastAsia" w:eastAsia="仿宋_GB2312"/>
          <w:sz w:val="32"/>
          <w:szCs w:val="32"/>
        </w:rPr>
        <w:t>年度增加</w:t>
      </w:r>
      <w:r>
        <w:rPr>
          <w:rFonts w:eastAsia="仿宋_GB2312"/>
          <w:sz w:val="32"/>
          <w:szCs w:val="32"/>
        </w:rPr>
        <w:t>0.07</w:t>
      </w:r>
      <w:r>
        <w:rPr>
          <w:rFonts w:hint="eastAsia" w:eastAsia="仿宋_GB2312"/>
          <w:sz w:val="32"/>
          <w:szCs w:val="32"/>
        </w:rPr>
        <w:t>万元，增长</w:t>
      </w:r>
      <w:r>
        <w:rPr>
          <w:rFonts w:eastAsia="仿宋_GB2312"/>
          <w:sz w:val="32"/>
          <w:szCs w:val="32"/>
        </w:rPr>
        <w:t>26.9 %</w:t>
      </w:r>
      <w:r>
        <w:rPr>
          <w:rFonts w:hint="eastAsia" w:eastAsia="仿宋_GB2312"/>
          <w:sz w:val="32"/>
          <w:szCs w:val="32"/>
        </w:rPr>
        <w:t>。主要原因是接待上级部门到保护区调研、检查工作人数增加。其中：</w:t>
      </w:r>
    </w:p>
    <w:p w14:paraId="19C44FCC">
      <w:pPr>
        <w:spacing w:line="600" w:lineRule="exact"/>
        <w:ind w:firstLine="640"/>
        <w:rPr>
          <w:rFonts w:eastAsia="仿宋_GB2312"/>
          <w:sz w:val="32"/>
          <w:szCs w:val="32"/>
        </w:rPr>
      </w:pPr>
      <w:r>
        <w:rPr>
          <w:rFonts w:hint="eastAsia" w:eastAsia="仿宋_GB2312"/>
          <w:sz w:val="32"/>
          <w:szCs w:val="32"/>
        </w:rPr>
        <w:t>国内公务接待支出</w:t>
      </w:r>
      <w:r>
        <w:rPr>
          <w:rFonts w:eastAsia="仿宋_GB2312"/>
          <w:sz w:val="32"/>
          <w:szCs w:val="32"/>
        </w:rPr>
        <w:t>0.33</w:t>
      </w:r>
      <w:r>
        <w:rPr>
          <w:rFonts w:hint="eastAsia" w:eastAsia="仿宋_GB2312"/>
          <w:sz w:val="32"/>
          <w:szCs w:val="32"/>
        </w:rPr>
        <w:t>万元，主要用于接待上级部门到保护区调研、检查工作产生的用餐费。国内公务接待</w:t>
      </w:r>
      <w:r>
        <w:rPr>
          <w:rFonts w:eastAsia="仿宋_GB2312"/>
          <w:sz w:val="32"/>
          <w:szCs w:val="32"/>
        </w:rPr>
        <w:t>4</w:t>
      </w:r>
      <w:r>
        <w:rPr>
          <w:rFonts w:hint="eastAsia" w:eastAsia="仿宋_GB2312"/>
          <w:sz w:val="32"/>
          <w:szCs w:val="32"/>
        </w:rPr>
        <w:t>批次，</w:t>
      </w:r>
      <w:r>
        <w:rPr>
          <w:rFonts w:eastAsia="仿宋_GB2312"/>
          <w:sz w:val="32"/>
          <w:szCs w:val="32"/>
        </w:rPr>
        <w:t>25</w:t>
      </w:r>
      <w:r>
        <w:rPr>
          <w:rFonts w:hint="eastAsia" w:eastAsia="仿宋_GB2312"/>
          <w:sz w:val="32"/>
          <w:szCs w:val="32"/>
        </w:rPr>
        <w:t>人次（不包括陪同人员），共计支出</w:t>
      </w:r>
      <w:r>
        <w:rPr>
          <w:rFonts w:eastAsia="仿宋_GB2312"/>
          <w:sz w:val="32"/>
          <w:szCs w:val="32"/>
        </w:rPr>
        <w:t>0.33</w:t>
      </w:r>
      <w:r>
        <w:rPr>
          <w:rFonts w:hint="eastAsia" w:eastAsia="仿宋_GB2312"/>
          <w:sz w:val="32"/>
          <w:szCs w:val="32"/>
        </w:rPr>
        <w:t>万元，具体内容包括：</w:t>
      </w:r>
      <w:bookmarkStart w:id="86" w:name="OLE_LINK53"/>
      <w:r>
        <w:rPr>
          <w:rFonts w:hint="eastAsia" w:eastAsia="仿宋_GB2312"/>
          <w:sz w:val="32"/>
          <w:szCs w:val="32"/>
        </w:rPr>
        <w:t>接待市级部门到保护区督导调研</w:t>
      </w:r>
      <w:r>
        <w:rPr>
          <w:rFonts w:eastAsia="仿宋_GB2312"/>
          <w:sz w:val="32"/>
          <w:szCs w:val="32"/>
        </w:rPr>
        <w:t>1</w:t>
      </w:r>
      <w:r>
        <w:rPr>
          <w:rFonts w:hint="eastAsia" w:eastAsia="仿宋_GB2312"/>
          <w:sz w:val="32"/>
          <w:szCs w:val="32"/>
        </w:rPr>
        <w:t>次</w:t>
      </w:r>
      <w:r>
        <w:rPr>
          <w:rFonts w:eastAsia="仿宋_GB2312"/>
          <w:sz w:val="32"/>
          <w:szCs w:val="32"/>
        </w:rPr>
        <w:t>762</w:t>
      </w:r>
      <w:r>
        <w:rPr>
          <w:rFonts w:hint="eastAsia" w:eastAsia="仿宋_GB2312"/>
          <w:sz w:val="32"/>
          <w:szCs w:val="32"/>
        </w:rPr>
        <w:t>元，接待省级部门到保护区督导调研</w:t>
      </w:r>
      <w:r>
        <w:rPr>
          <w:rFonts w:eastAsia="仿宋_GB2312"/>
          <w:sz w:val="32"/>
          <w:szCs w:val="32"/>
        </w:rPr>
        <w:t>1</w:t>
      </w:r>
      <w:r>
        <w:rPr>
          <w:rFonts w:hint="eastAsia" w:eastAsia="仿宋_GB2312"/>
          <w:sz w:val="32"/>
          <w:szCs w:val="32"/>
        </w:rPr>
        <w:t>次</w:t>
      </w:r>
      <w:r>
        <w:rPr>
          <w:rFonts w:eastAsia="仿宋_GB2312"/>
          <w:sz w:val="32"/>
          <w:szCs w:val="32"/>
        </w:rPr>
        <w:t>2000</w:t>
      </w:r>
      <w:r>
        <w:rPr>
          <w:rFonts w:hint="eastAsia" w:eastAsia="仿宋_GB2312"/>
          <w:sz w:val="32"/>
          <w:szCs w:val="32"/>
        </w:rPr>
        <w:t>元，</w:t>
      </w:r>
      <w:bookmarkEnd w:id="86"/>
      <w:r>
        <w:rPr>
          <w:rFonts w:hint="eastAsia" w:eastAsia="仿宋_GB2312"/>
          <w:sz w:val="32"/>
          <w:szCs w:val="32"/>
        </w:rPr>
        <w:t>接待</w:t>
      </w:r>
      <w:r>
        <w:rPr>
          <w:rFonts w:hint="eastAsia" w:eastAsia="仿宋_GB2312"/>
          <w:sz w:val="32"/>
          <w:szCs w:val="32"/>
          <w:lang w:eastAsia="zh-CN"/>
        </w:rPr>
        <w:t>其他保护</w:t>
      </w:r>
      <w:r>
        <w:rPr>
          <w:rFonts w:hint="eastAsia" w:eastAsia="仿宋_GB2312"/>
          <w:sz w:val="32"/>
          <w:szCs w:val="32"/>
        </w:rPr>
        <w:t>机构到保护区调研</w:t>
      </w:r>
      <w:r>
        <w:rPr>
          <w:rFonts w:eastAsia="仿宋_GB2312"/>
          <w:sz w:val="32"/>
          <w:szCs w:val="32"/>
        </w:rPr>
        <w:t>1</w:t>
      </w:r>
      <w:r>
        <w:rPr>
          <w:rFonts w:hint="eastAsia" w:eastAsia="仿宋_GB2312"/>
          <w:sz w:val="32"/>
          <w:szCs w:val="32"/>
        </w:rPr>
        <w:t>次</w:t>
      </w:r>
      <w:r>
        <w:rPr>
          <w:rFonts w:eastAsia="仿宋_GB2312"/>
          <w:sz w:val="32"/>
          <w:szCs w:val="32"/>
        </w:rPr>
        <w:t>550</w:t>
      </w:r>
      <w:r>
        <w:rPr>
          <w:rFonts w:hint="eastAsia" w:eastAsia="仿宋_GB2312"/>
          <w:sz w:val="32"/>
          <w:szCs w:val="32"/>
        </w:rPr>
        <w:t>元。</w:t>
      </w:r>
    </w:p>
    <w:p w14:paraId="12D46875">
      <w:pPr>
        <w:spacing w:line="600" w:lineRule="exact"/>
        <w:ind w:firstLine="640"/>
        <w:rPr>
          <w:rFonts w:eastAsia="仿宋_GB2312"/>
          <w:sz w:val="32"/>
          <w:szCs w:val="32"/>
        </w:rPr>
      </w:pPr>
      <w:r>
        <w:rPr>
          <w:rFonts w:hint="eastAsia" w:eastAsia="仿宋_GB2312"/>
          <w:sz w:val="32"/>
          <w:szCs w:val="32"/>
        </w:rPr>
        <w:t>外事接待支出</w:t>
      </w:r>
      <w:r>
        <w:rPr>
          <w:rFonts w:eastAsia="仿宋_GB2312"/>
          <w:sz w:val="32"/>
          <w:szCs w:val="32"/>
        </w:rPr>
        <w:t>0</w:t>
      </w:r>
      <w:r>
        <w:rPr>
          <w:rFonts w:hint="eastAsia" w:eastAsia="仿宋_GB2312"/>
          <w:sz w:val="32"/>
          <w:szCs w:val="32"/>
        </w:rPr>
        <w:t>万元，外事接待</w:t>
      </w:r>
      <w:r>
        <w:rPr>
          <w:rFonts w:eastAsia="仿宋_GB2312"/>
          <w:sz w:val="32"/>
          <w:szCs w:val="32"/>
        </w:rPr>
        <w:t>0</w:t>
      </w:r>
      <w:r>
        <w:rPr>
          <w:rFonts w:hint="eastAsia" w:eastAsia="仿宋_GB2312"/>
          <w:sz w:val="32"/>
          <w:szCs w:val="32"/>
        </w:rPr>
        <w:t>批次，</w:t>
      </w:r>
      <w:r>
        <w:rPr>
          <w:rFonts w:eastAsia="仿宋_GB2312"/>
          <w:sz w:val="32"/>
          <w:szCs w:val="32"/>
        </w:rPr>
        <w:t>0</w:t>
      </w:r>
      <w:r>
        <w:rPr>
          <w:rFonts w:hint="eastAsia" w:eastAsia="仿宋_GB2312"/>
          <w:sz w:val="32"/>
          <w:szCs w:val="32"/>
        </w:rPr>
        <w:t>人次（不包括陪同人员），共计支出</w:t>
      </w:r>
      <w:r>
        <w:rPr>
          <w:rFonts w:eastAsia="仿宋_GB2312"/>
          <w:sz w:val="32"/>
          <w:szCs w:val="32"/>
        </w:rPr>
        <w:t>0</w:t>
      </w:r>
      <w:r>
        <w:rPr>
          <w:rFonts w:hint="eastAsia" w:eastAsia="仿宋_GB2312"/>
          <w:sz w:val="32"/>
          <w:szCs w:val="32"/>
        </w:rPr>
        <w:t>万元。</w:t>
      </w:r>
      <w:bookmarkStart w:id="87" w:name="_Toc15396610"/>
      <w:bookmarkStart w:id="88" w:name="_Toc15377218"/>
    </w:p>
    <w:p w14:paraId="602DF441">
      <w:pPr>
        <w:spacing w:line="600" w:lineRule="exact"/>
        <w:ind w:firstLine="640"/>
        <w:outlineLvl w:val="1"/>
        <w:rPr>
          <w:rStyle w:val="20"/>
          <w:rFonts w:ascii="Times New Roman" w:hAnsi="Times New Roman" w:eastAsia="黑体"/>
        </w:rPr>
      </w:pPr>
      <w:r>
        <w:rPr>
          <w:rFonts w:hint="eastAsia" w:eastAsia="黑体"/>
          <w:sz w:val="32"/>
          <w:szCs w:val="32"/>
        </w:rPr>
        <w:t>八、</w:t>
      </w:r>
      <w:r>
        <w:rPr>
          <w:rStyle w:val="20"/>
          <w:rFonts w:hint="eastAsia" w:ascii="Times New Roman" w:hAnsi="Times New Roman" w:eastAsia="黑体"/>
          <w:b w:val="0"/>
        </w:rPr>
        <w:t>政府性基金预算支出决算情况说明</w:t>
      </w:r>
      <w:bookmarkEnd w:id="87"/>
      <w:bookmarkEnd w:id="88"/>
    </w:p>
    <w:p w14:paraId="6C46E9C3">
      <w:pPr>
        <w:spacing w:line="600" w:lineRule="exact"/>
        <w:ind w:firstLine="640"/>
        <w:rPr>
          <w:rFonts w:eastAsia="仿宋_GB2312"/>
          <w:sz w:val="32"/>
          <w:szCs w:val="32"/>
        </w:rPr>
      </w:pPr>
      <w:r>
        <w:rPr>
          <w:rFonts w:eastAsia="仿宋_GB2312"/>
          <w:sz w:val="32"/>
          <w:szCs w:val="32"/>
        </w:rPr>
        <w:t>2024</w:t>
      </w:r>
      <w:r>
        <w:rPr>
          <w:rFonts w:hint="eastAsia" w:eastAsia="仿宋_GB2312"/>
          <w:sz w:val="32"/>
          <w:szCs w:val="32"/>
        </w:rPr>
        <w:t>年度政府性基金预算财政拨款支出</w:t>
      </w:r>
      <w:r>
        <w:rPr>
          <w:rFonts w:eastAsia="仿宋_GB2312"/>
          <w:sz w:val="32"/>
          <w:szCs w:val="32"/>
        </w:rPr>
        <w:t>198.96</w:t>
      </w:r>
      <w:r>
        <w:rPr>
          <w:rFonts w:hint="eastAsia" w:eastAsia="仿宋_GB2312"/>
          <w:sz w:val="32"/>
          <w:szCs w:val="32"/>
        </w:rPr>
        <w:t>万元，占本年支出合计的</w:t>
      </w:r>
      <w:r>
        <w:rPr>
          <w:rFonts w:eastAsia="仿宋_GB2312"/>
          <w:sz w:val="32"/>
          <w:szCs w:val="32"/>
        </w:rPr>
        <w:t>13.47%</w:t>
      </w:r>
      <w:r>
        <w:rPr>
          <w:rFonts w:hint="eastAsia" w:eastAsia="仿宋_GB2312"/>
          <w:sz w:val="32"/>
          <w:szCs w:val="32"/>
        </w:rPr>
        <w:t>。与</w:t>
      </w:r>
      <w:r>
        <w:rPr>
          <w:rFonts w:eastAsia="仿宋_GB2312"/>
          <w:sz w:val="32"/>
          <w:szCs w:val="32"/>
        </w:rPr>
        <w:t>2023</w:t>
      </w:r>
      <w:r>
        <w:rPr>
          <w:rFonts w:hint="eastAsia" w:eastAsia="仿宋_GB2312"/>
          <w:sz w:val="32"/>
          <w:szCs w:val="32"/>
        </w:rPr>
        <w:t>年度相比，政府性基金预算财政拨款支出增加</w:t>
      </w:r>
      <w:r>
        <w:rPr>
          <w:rFonts w:eastAsia="仿宋_GB2312"/>
          <w:sz w:val="32"/>
          <w:szCs w:val="32"/>
        </w:rPr>
        <w:t>198.96</w:t>
      </w:r>
      <w:r>
        <w:rPr>
          <w:rFonts w:hint="eastAsia" w:eastAsia="仿宋_GB2312"/>
          <w:sz w:val="32"/>
          <w:szCs w:val="32"/>
        </w:rPr>
        <w:t>万元。主要变动原因是</w:t>
      </w:r>
      <w:r>
        <w:rPr>
          <w:rFonts w:eastAsia="仿宋_GB2312"/>
          <w:sz w:val="32"/>
          <w:szCs w:val="32"/>
        </w:rPr>
        <w:t>2024</w:t>
      </w:r>
      <w:r>
        <w:rPr>
          <w:rFonts w:hint="eastAsia" w:eastAsia="仿宋_GB2312"/>
          <w:sz w:val="32"/>
          <w:szCs w:val="32"/>
        </w:rPr>
        <w:t>年政府性基金预算安排支付基础设施三期工程及植被恢复生态治理二期项目款项。</w:t>
      </w:r>
    </w:p>
    <w:p w14:paraId="1F4BE385">
      <w:pPr>
        <w:spacing w:line="600" w:lineRule="exact"/>
        <w:ind w:left="630"/>
        <w:outlineLvl w:val="1"/>
        <w:rPr>
          <w:rStyle w:val="20"/>
          <w:rFonts w:ascii="Times New Roman" w:hAnsi="Times New Roman" w:eastAsia="黑体"/>
          <w:b w:val="0"/>
        </w:rPr>
      </w:pPr>
      <w:bookmarkStart w:id="89" w:name="_Toc15396611"/>
      <w:bookmarkStart w:id="90" w:name="_Toc15377219"/>
      <w:r>
        <w:rPr>
          <w:rStyle w:val="20"/>
          <w:rFonts w:hint="eastAsia" w:ascii="Times New Roman" w:hAnsi="Times New Roman" w:eastAsia="黑体"/>
          <w:b w:val="0"/>
        </w:rPr>
        <w:t>九、国有资本经营预算支出决算情况说明</w:t>
      </w:r>
      <w:bookmarkEnd w:id="89"/>
      <w:bookmarkEnd w:id="90"/>
    </w:p>
    <w:p w14:paraId="061E2F7A">
      <w:pPr>
        <w:spacing w:line="600" w:lineRule="exact"/>
        <w:ind w:firstLine="640"/>
        <w:rPr>
          <w:rFonts w:eastAsia="仿宋_GB2312"/>
          <w:sz w:val="32"/>
          <w:szCs w:val="32"/>
        </w:rPr>
      </w:pPr>
      <w:r>
        <w:rPr>
          <w:rFonts w:eastAsia="仿宋_GB2312"/>
          <w:sz w:val="32"/>
          <w:szCs w:val="32"/>
        </w:rPr>
        <w:t>2024</w:t>
      </w:r>
      <w:r>
        <w:rPr>
          <w:rFonts w:hint="eastAsia" w:eastAsia="仿宋_GB2312"/>
          <w:sz w:val="32"/>
          <w:szCs w:val="32"/>
        </w:rPr>
        <w:t>年度国有资本经营预算财政拨款支出</w:t>
      </w:r>
      <w:r>
        <w:rPr>
          <w:rFonts w:eastAsia="仿宋_GB2312"/>
          <w:sz w:val="32"/>
          <w:szCs w:val="32"/>
        </w:rPr>
        <w:t>0</w:t>
      </w:r>
      <w:r>
        <w:rPr>
          <w:rFonts w:hint="eastAsia" w:eastAsia="仿宋_GB2312"/>
          <w:sz w:val="32"/>
          <w:szCs w:val="32"/>
        </w:rPr>
        <w:t>万元。</w:t>
      </w:r>
    </w:p>
    <w:p w14:paraId="73EA8E8F">
      <w:pPr>
        <w:spacing w:line="600" w:lineRule="exact"/>
        <w:ind w:left="630"/>
        <w:outlineLvl w:val="1"/>
        <w:rPr>
          <w:rStyle w:val="20"/>
          <w:rFonts w:ascii="Times New Roman" w:hAnsi="Times New Roman" w:eastAsia="黑体"/>
          <w:b w:val="0"/>
        </w:rPr>
      </w:pPr>
      <w:bookmarkStart w:id="91" w:name="_Toc15396612"/>
      <w:bookmarkStart w:id="92" w:name="_Toc15377221"/>
      <w:r>
        <w:rPr>
          <w:rStyle w:val="20"/>
          <w:rFonts w:hint="eastAsia" w:ascii="Times New Roman" w:hAnsi="Times New Roman" w:eastAsia="黑体"/>
          <w:b w:val="0"/>
        </w:rPr>
        <w:t>十、其他重要事项的情况说明</w:t>
      </w:r>
      <w:bookmarkEnd w:id="91"/>
      <w:bookmarkEnd w:id="92"/>
    </w:p>
    <w:p w14:paraId="3CEB2E7C">
      <w:pPr>
        <w:spacing w:line="600" w:lineRule="exact"/>
        <w:ind w:firstLine="643" w:firstLineChars="200"/>
        <w:outlineLvl w:val="2"/>
        <w:rPr>
          <w:rFonts w:eastAsia="楷体_GB2312"/>
          <w:b/>
          <w:sz w:val="32"/>
          <w:szCs w:val="32"/>
        </w:rPr>
      </w:pPr>
      <w:bookmarkStart w:id="93" w:name="_Toc15377222"/>
      <w:r>
        <w:rPr>
          <w:rFonts w:hint="eastAsia" w:eastAsia="楷体_GB2312"/>
          <w:b/>
          <w:sz w:val="32"/>
          <w:szCs w:val="32"/>
        </w:rPr>
        <w:t>（一）机关运行经费支出情况</w:t>
      </w:r>
      <w:bookmarkEnd w:id="93"/>
    </w:p>
    <w:p w14:paraId="3225160B">
      <w:pPr>
        <w:spacing w:line="600" w:lineRule="exact"/>
        <w:ind w:firstLine="640"/>
        <w:rPr>
          <w:rFonts w:eastAsia="仿宋_GB2312"/>
          <w:sz w:val="32"/>
          <w:szCs w:val="32"/>
        </w:rPr>
      </w:pPr>
      <w:r>
        <w:rPr>
          <w:rFonts w:eastAsia="仿宋_GB2312"/>
          <w:sz w:val="32"/>
          <w:szCs w:val="32"/>
        </w:rPr>
        <w:t>2024</w:t>
      </w:r>
      <w:r>
        <w:rPr>
          <w:rFonts w:hint="eastAsia" w:eastAsia="仿宋_GB2312"/>
          <w:sz w:val="32"/>
          <w:szCs w:val="32"/>
        </w:rPr>
        <w:t>年度，四川攀枝花苏铁国家级自然保护区保护中心机关运行经费支出</w:t>
      </w:r>
      <w:r>
        <w:rPr>
          <w:rFonts w:eastAsia="仿宋_GB2312"/>
          <w:sz w:val="32"/>
          <w:szCs w:val="32"/>
        </w:rPr>
        <w:t>0</w:t>
      </w:r>
      <w:r>
        <w:rPr>
          <w:rFonts w:hint="eastAsia" w:eastAsia="仿宋_GB2312"/>
          <w:sz w:val="32"/>
          <w:szCs w:val="32"/>
        </w:rPr>
        <w:t>万元，与</w:t>
      </w:r>
      <w:r>
        <w:rPr>
          <w:rFonts w:eastAsia="仿宋_GB2312"/>
          <w:sz w:val="32"/>
          <w:szCs w:val="32"/>
        </w:rPr>
        <w:t>2023</w:t>
      </w:r>
      <w:r>
        <w:rPr>
          <w:rFonts w:hint="eastAsia" w:eastAsia="仿宋_GB2312"/>
          <w:sz w:val="32"/>
          <w:szCs w:val="32"/>
        </w:rPr>
        <w:t>年度决算数持平。</w:t>
      </w:r>
    </w:p>
    <w:p w14:paraId="1A0A9DB6">
      <w:pPr>
        <w:spacing w:line="600" w:lineRule="exact"/>
        <w:ind w:firstLine="643" w:firstLineChars="200"/>
        <w:outlineLvl w:val="2"/>
        <w:rPr>
          <w:rFonts w:eastAsia="楷体_GB2312"/>
          <w:b/>
          <w:sz w:val="32"/>
          <w:szCs w:val="32"/>
        </w:rPr>
      </w:pPr>
      <w:bookmarkStart w:id="94" w:name="_Toc15377223"/>
      <w:r>
        <w:rPr>
          <w:rFonts w:hint="eastAsia" w:eastAsia="楷体_GB2312"/>
          <w:b/>
          <w:sz w:val="32"/>
          <w:szCs w:val="32"/>
        </w:rPr>
        <w:t>（二）政府采购支出情况</w:t>
      </w:r>
      <w:bookmarkEnd w:id="94"/>
    </w:p>
    <w:p w14:paraId="0C54E514">
      <w:pPr>
        <w:spacing w:line="600" w:lineRule="exact"/>
        <w:ind w:firstLine="640"/>
        <w:rPr>
          <w:rFonts w:eastAsia="仿宋_GB2312"/>
          <w:sz w:val="32"/>
          <w:szCs w:val="32"/>
        </w:rPr>
      </w:pPr>
      <w:r>
        <w:rPr>
          <w:rFonts w:eastAsia="仿宋_GB2312"/>
          <w:sz w:val="32"/>
          <w:szCs w:val="32"/>
        </w:rPr>
        <w:t>2024</w:t>
      </w:r>
      <w:r>
        <w:rPr>
          <w:rFonts w:hint="eastAsia" w:eastAsia="仿宋_GB2312"/>
          <w:sz w:val="32"/>
          <w:szCs w:val="32"/>
        </w:rPr>
        <w:t>年度，四川攀枝花苏铁国家级自然保护区保护中心政府采购支出总额</w:t>
      </w:r>
      <w:r>
        <w:rPr>
          <w:rFonts w:eastAsia="仿宋_GB2312"/>
          <w:sz w:val="32"/>
          <w:szCs w:val="32"/>
        </w:rPr>
        <w:t>4.26</w:t>
      </w:r>
      <w:r>
        <w:rPr>
          <w:rFonts w:hint="eastAsia" w:eastAsia="仿宋_GB2312"/>
          <w:sz w:val="32"/>
          <w:szCs w:val="32"/>
        </w:rPr>
        <w:t>万元，其中：政府采购货物支出</w:t>
      </w:r>
      <w:r>
        <w:rPr>
          <w:rFonts w:eastAsia="仿宋_GB2312"/>
          <w:sz w:val="32"/>
          <w:szCs w:val="32"/>
        </w:rPr>
        <w:t>0.73</w:t>
      </w:r>
      <w:r>
        <w:rPr>
          <w:rFonts w:hint="eastAsia" w:eastAsia="仿宋_GB2312"/>
          <w:sz w:val="32"/>
          <w:szCs w:val="32"/>
        </w:rPr>
        <w:t>万元、政府采购工程支出</w:t>
      </w:r>
      <w:r>
        <w:rPr>
          <w:rFonts w:eastAsia="仿宋_GB2312"/>
          <w:sz w:val="32"/>
          <w:szCs w:val="32"/>
        </w:rPr>
        <w:t>0</w:t>
      </w:r>
      <w:r>
        <w:rPr>
          <w:rFonts w:hint="eastAsia" w:eastAsia="仿宋_GB2312"/>
          <w:sz w:val="32"/>
          <w:szCs w:val="32"/>
        </w:rPr>
        <w:t>万元、政府采购服务支出</w:t>
      </w:r>
      <w:r>
        <w:rPr>
          <w:rFonts w:eastAsia="仿宋_GB2312"/>
          <w:sz w:val="32"/>
          <w:szCs w:val="32"/>
        </w:rPr>
        <w:t>3.53</w:t>
      </w:r>
      <w:r>
        <w:rPr>
          <w:rFonts w:hint="eastAsia" w:eastAsia="仿宋_GB2312"/>
          <w:sz w:val="32"/>
          <w:szCs w:val="32"/>
        </w:rPr>
        <w:t>万元。主要用于采购办公设备及公务车保险、加油、维修等服务。授予中小企业合同金额</w:t>
      </w:r>
      <w:r>
        <w:rPr>
          <w:rFonts w:eastAsia="仿宋_GB2312"/>
          <w:sz w:val="32"/>
          <w:szCs w:val="32"/>
        </w:rPr>
        <w:t>3.14</w:t>
      </w:r>
      <w:r>
        <w:rPr>
          <w:rFonts w:hint="eastAsia" w:eastAsia="仿宋_GB2312"/>
          <w:sz w:val="32"/>
          <w:szCs w:val="32"/>
        </w:rPr>
        <w:t>万元，占政府采购支出总额的</w:t>
      </w:r>
      <w:r>
        <w:rPr>
          <w:rFonts w:eastAsia="仿宋_GB2312"/>
          <w:sz w:val="32"/>
          <w:szCs w:val="32"/>
        </w:rPr>
        <w:t>73.87%</w:t>
      </w:r>
      <w:r>
        <w:rPr>
          <w:rFonts w:hint="eastAsia" w:eastAsia="仿宋_GB2312"/>
          <w:sz w:val="32"/>
          <w:szCs w:val="32"/>
        </w:rPr>
        <w:t>，其中：授予小微企业合同金额</w:t>
      </w:r>
      <w:r>
        <w:rPr>
          <w:rFonts w:eastAsia="仿宋_GB2312"/>
          <w:sz w:val="32"/>
          <w:szCs w:val="32"/>
        </w:rPr>
        <w:t>0.73</w:t>
      </w:r>
      <w:r>
        <w:rPr>
          <w:rFonts w:hint="eastAsia" w:eastAsia="仿宋_GB2312"/>
          <w:sz w:val="32"/>
          <w:szCs w:val="32"/>
        </w:rPr>
        <w:t>万元，占政府采购支出总额的</w:t>
      </w:r>
      <w:r>
        <w:rPr>
          <w:rFonts w:eastAsia="仿宋_GB2312"/>
          <w:sz w:val="32"/>
          <w:szCs w:val="32"/>
        </w:rPr>
        <w:t>17.08%</w:t>
      </w:r>
      <w:r>
        <w:rPr>
          <w:rFonts w:hint="eastAsia" w:eastAsia="仿宋_GB2312"/>
          <w:sz w:val="32"/>
          <w:szCs w:val="32"/>
        </w:rPr>
        <w:t>。</w:t>
      </w:r>
    </w:p>
    <w:p w14:paraId="454D965F">
      <w:pPr>
        <w:spacing w:line="600" w:lineRule="exact"/>
        <w:ind w:firstLine="643" w:firstLineChars="200"/>
        <w:outlineLvl w:val="2"/>
        <w:rPr>
          <w:rFonts w:eastAsia="楷体_GB2312"/>
          <w:b/>
          <w:sz w:val="32"/>
          <w:szCs w:val="32"/>
        </w:rPr>
      </w:pPr>
      <w:bookmarkStart w:id="95" w:name="_Toc15377224"/>
      <w:r>
        <w:rPr>
          <w:rFonts w:hint="eastAsia" w:eastAsia="楷体_GB2312"/>
          <w:b/>
          <w:sz w:val="32"/>
          <w:szCs w:val="32"/>
        </w:rPr>
        <w:t>（三）国有资产占有使用情况</w:t>
      </w:r>
      <w:bookmarkEnd w:id="95"/>
    </w:p>
    <w:p w14:paraId="5C5E8D65">
      <w:pPr>
        <w:spacing w:line="600" w:lineRule="exact"/>
        <w:ind w:firstLine="640"/>
        <w:rPr>
          <w:rFonts w:eastAsia="仿宋_GB2312"/>
          <w:sz w:val="32"/>
          <w:szCs w:val="32"/>
        </w:rPr>
      </w:pPr>
      <w:r>
        <w:rPr>
          <w:rFonts w:hint="eastAsia" w:eastAsia="仿宋_GB2312"/>
          <w:sz w:val="32"/>
          <w:szCs w:val="32"/>
        </w:rPr>
        <w:t>截至</w:t>
      </w:r>
      <w:r>
        <w:rPr>
          <w:rFonts w:eastAsia="仿宋_GB2312"/>
          <w:sz w:val="32"/>
          <w:szCs w:val="32"/>
        </w:rPr>
        <w:t>2024</w:t>
      </w:r>
      <w:r>
        <w:rPr>
          <w:rFonts w:hint="eastAsia" w:eastAsia="仿宋_GB2312"/>
          <w:sz w:val="32"/>
          <w:szCs w:val="32"/>
        </w:rPr>
        <w:t>年</w:t>
      </w:r>
      <w:r>
        <w:rPr>
          <w:rFonts w:eastAsia="仿宋_GB2312"/>
          <w:sz w:val="32"/>
          <w:szCs w:val="32"/>
        </w:rPr>
        <w:t>12</w:t>
      </w:r>
      <w:r>
        <w:rPr>
          <w:rFonts w:hint="eastAsia" w:eastAsia="仿宋_GB2312"/>
          <w:sz w:val="32"/>
          <w:szCs w:val="32"/>
        </w:rPr>
        <w:t>月</w:t>
      </w:r>
      <w:r>
        <w:rPr>
          <w:rFonts w:eastAsia="仿宋_GB2312"/>
          <w:sz w:val="32"/>
          <w:szCs w:val="32"/>
        </w:rPr>
        <w:t>31</w:t>
      </w:r>
      <w:r>
        <w:rPr>
          <w:rFonts w:hint="eastAsia" w:eastAsia="仿宋_GB2312"/>
          <w:sz w:val="32"/>
          <w:szCs w:val="32"/>
        </w:rPr>
        <w:t>日，四川攀枝花苏铁国家级自然保护区保护中心共有车辆</w:t>
      </w:r>
      <w:r>
        <w:rPr>
          <w:rFonts w:eastAsia="仿宋_GB2312"/>
          <w:sz w:val="32"/>
          <w:szCs w:val="32"/>
        </w:rPr>
        <w:t>4</w:t>
      </w:r>
      <w:r>
        <w:rPr>
          <w:rFonts w:hint="eastAsia" w:eastAsia="仿宋_GB2312"/>
          <w:sz w:val="32"/>
          <w:szCs w:val="32"/>
        </w:rPr>
        <w:t>辆，其中：主要负责人用车</w:t>
      </w:r>
      <w:r>
        <w:rPr>
          <w:rFonts w:eastAsia="仿宋_GB2312"/>
          <w:sz w:val="32"/>
          <w:szCs w:val="32"/>
        </w:rPr>
        <w:t>0</w:t>
      </w:r>
      <w:r>
        <w:rPr>
          <w:rFonts w:hint="eastAsia" w:eastAsia="仿宋_GB2312"/>
          <w:sz w:val="32"/>
          <w:szCs w:val="32"/>
        </w:rPr>
        <w:t>辆、机要通信用车</w:t>
      </w:r>
      <w:r>
        <w:rPr>
          <w:rFonts w:eastAsia="仿宋_GB2312"/>
          <w:sz w:val="32"/>
          <w:szCs w:val="32"/>
        </w:rPr>
        <w:t>0</w:t>
      </w:r>
      <w:r>
        <w:rPr>
          <w:rFonts w:hint="eastAsia" w:eastAsia="仿宋_GB2312"/>
          <w:sz w:val="32"/>
          <w:szCs w:val="32"/>
        </w:rPr>
        <w:t>辆、应急保障用车</w:t>
      </w:r>
      <w:r>
        <w:rPr>
          <w:rFonts w:eastAsia="仿宋_GB2312"/>
          <w:sz w:val="32"/>
          <w:szCs w:val="32"/>
        </w:rPr>
        <w:t>0</w:t>
      </w:r>
      <w:r>
        <w:rPr>
          <w:rFonts w:hint="eastAsia" w:eastAsia="仿宋_GB2312"/>
          <w:sz w:val="32"/>
          <w:szCs w:val="32"/>
        </w:rPr>
        <w:t>辆、其他用车</w:t>
      </w:r>
      <w:r>
        <w:rPr>
          <w:rFonts w:eastAsia="仿宋_GB2312"/>
          <w:sz w:val="32"/>
          <w:szCs w:val="32"/>
        </w:rPr>
        <w:t>4</w:t>
      </w:r>
      <w:r>
        <w:rPr>
          <w:rFonts w:hint="eastAsia" w:eastAsia="仿宋_GB2312"/>
          <w:sz w:val="32"/>
          <w:szCs w:val="32"/>
        </w:rPr>
        <w:t>辆，其他用车主要是用于开展日常工作、保护区内资源保护巡护、森林防火巡查等。单价</w:t>
      </w:r>
      <w:r>
        <w:rPr>
          <w:rFonts w:eastAsia="仿宋_GB2312"/>
          <w:sz w:val="32"/>
          <w:szCs w:val="32"/>
        </w:rPr>
        <w:t>100</w:t>
      </w:r>
      <w:r>
        <w:rPr>
          <w:rFonts w:hint="eastAsia" w:eastAsia="仿宋_GB2312"/>
          <w:sz w:val="32"/>
          <w:szCs w:val="32"/>
        </w:rPr>
        <w:t>万元（含）以上设备（不含车辆）</w:t>
      </w:r>
      <w:r>
        <w:rPr>
          <w:rFonts w:eastAsia="仿宋_GB2312"/>
          <w:sz w:val="32"/>
          <w:szCs w:val="32"/>
        </w:rPr>
        <w:t>0</w:t>
      </w:r>
      <w:r>
        <w:rPr>
          <w:rFonts w:hint="eastAsia" w:eastAsia="仿宋_GB2312"/>
          <w:sz w:val="32"/>
          <w:szCs w:val="32"/>
        </w:rPr>
        <w:t>台（套）。</w:t>
      </w:r>
    </w:p>
    <w:p w14:paraId="0982C36A">
      <w:pPr>
        <w:spacing w:line="600" w:lineRule="exact"/>
        <w:ind w:firstLine="643" w:firstLineChars="200"/>
        <w:outlineLvl w:val="2"/>
        <w:rPr>
          <w:rFonts w:eastAsia="楷体_GB2312"/>
          <w:b/>
          <w:sz w:val="32"/>
          <w:szCs w:val="32"/>
        </w:rPr>
      </w:pPr>
      <w:r>
        <w:rPr>
          <w:rFonts w:hint="eastAsia" w:eastAsia="楷体_GB2312"/>
          <w:b/>
          <w:sz w:val="32"/>
          <w:szCs w:val="32"/>
        </w:rPr>
        <w:t>（四）预算绩效管理情况</w:t>
      </w:r>
    </w:p>
    <w:p w14:paraId="143C5E40">
      <w:pPr>
        <w:spacing w:line="600" w:lineRule="exact"/>
        <w:ind w:firstLine="640"/>
        <w:rPr>
          <w:rFonts w:eastAsia="仿宋_GB2312"/>
          <w:sz w:val="32"/>
          <w:szCs w:val="32"/>
        </w:rPr>
      </w:pPr>
      <w:r>
        <w:rPr>
          <w:rFonts w:hint="eastAsia" w:eastAsia="仿宋_GB2312"/>
          <w:sz w:val="32"/>
          <w:szCs w:val="32"/>
        </w:rPr>
        <w:t>根据预算绩效管理要求，苏铁保护中心在</w:t>
      </w:r>
      <w:r>
        <w:rPr>
          <w:rFonts w:eastAsia="仿宋_GB2312"/>
          <w:sz w:val="32"/>
          <w:szCs w:val="32"/>
        </w:rPr>
        <w:t>2024</w:t>
      </w:r>
      <w:r>
        <w:rPr>
          <w:rFonts w:hint="eastAsia" w:eastAsia="仿宋_GB2312"/>
          <w:sz w:val="32"/>
          <w:szCs w:val="32"/>
        </w:rPr>
        <w:t>年度预算编制阶段，组织对</w:t>
      </w:r>
      <w:r>
        <w:rPr>
          <w:rFonts w:eastAsia="仿宋_GB2312"/>
          <w:sz w:val="32"/>
          <w:szCs w:val="32"/>
        </w:rPr>
        <w:t>2024</w:t>
      </w:r>
      <w:r>
        <w:rPr>
          <w:rFonts w:hint="eastAsia" w:eastAsia="仿宋_GB2312"/>
          <w:sz w:val="32"/>
          <w:szCs w:val="32"/>
        </w:rPr>
        <w:t>年苏保区立法经费等</w:t>
      </w:r>
      <w:r>
        <w:rPr>
          <w:rFonts w:eastAsia="仿宋_GB2312"/>
          <w:sz w:val="32"/>
          <w:szCs w:val="32"/>
        </w:rPr>
        <w:t>1</w:t>
      </w:r>
      <w:r>
        <w:rPr>
          <w:rFonts w:hint="eastAsia" w:eastAsia="仿宋_GB2312"/>
          <w:sz w:val="32"/>
          <w:szCs w:val="32"/>
        </w:rPr>
        <w:t>个项目开展了预算事前绩效评估，对</w:t>
      </w:r>
      <w:r>
        <w:rPr>
          <w:rFonts w:eastAsia="仿宋_GB2312"/>
          <w:sz w:val="32"/>
          <w:szCs w:val="32"/>
        </w:rPr>
        <w:t>1</w:t>
      </w:r>
      <w:r>
        <w:rPr>
          <w:rFonts w:hint="eastAsia" w:eastAsia="仿宋_GB2312"/>
          <w:sz w:val="32"/>
          <w:szCs w:val="32"/>
        </w:rPr>
        <w:t>个项目编制了绩效目标，预算执行过程中，选取</w:t>
      </w:r>
      <w:r>
        <w:rPr>
          <w:rFonts w:eastAsia="仿宋_GB2312"/>
          <w:sz w:val="32"/>
          <w:szCs w:val="32"/>
        </w:rPr>
        <w:t>1</w:t>
      </w:r>
      <w:r>
        <w:rPr>
          <w:rFonts w:hint="eastAsia" w:eastAsia="仿宋_GB2312"/>
          <w:sz w:val="32"/>
          <w:szCs w:val="32"/>
        </w:rPr>
        <w:t>个项目开展绩效监控。</w:t>
      </w:r>
    </w:p>
    <w:p w14:paraId="30B4A861">
      <w:pPr>
        <w:spacing w:line="600" w:lineRule="exact"/>
        <w:ind w:firstLine="640"/>
        <w:rPr>
          <w:rFonts w:eastAsia="仿宋_GB2312"/>
          <w:sz w:val="32"/>
          <w:szCs w:val="32"/>
        </w:rPr>
      </w:pPr>
      <w:r>
        <w:rPr>
          <w:rFonts w:hint="eastAsia" w:eastAsia="仿宋_GB2312"/>
          <w:sz w:val="32"/>
          <w:szCs w:val="32"/>
        </w:rPr>
        <w:t>组织对</w:t>
      </w:r>
      <w:r>
        <w:rPr>
          <w:rFonts w:eastAsia="仿宋_GB2312"/>
          <w:sz w:val="32"/>
          <w:szCs w:val="32"/>
        </w:rPr>
        <w:t>2024</w:t>
      </w:r>
      <w:r>
        <w:rPr>
          <w:rFonts w:hint="eastAsia" w:eastAsia="仿宋_GB2312"/>
          <w:sz w:val="32"/>
          <w:szCs w:val="32"/>
        </w:rPr>
        <w:t>年度一般公共预算、政府性基金预算、国有资本经营预算、社会保险基金预算以及资本资产、债券资金等全面开展绩效自评，绩效自评报告详见附件。</w:t>
      </w:r>
    </w:p>
    <w:p w14:paraId="626B2ABF">
      <w:pPr>
        <w:spacing w:line="600" w:lineRule="exact"/>
        <w:ind w:firstLine="640"/>
        <w:rPr>
          <w:rFonts w:eastAsia="仿宋_GB2312"/>
          <w:sz w:val="32"/>
          <w:szCs w:val="32"/>
        </w:rPr>
      </w:pPr>
    </w:p>
    <w:p w14:paraId="0ECD3135">
      <w:pPr>
        <w:spacing w:line="600" w:lineRule="exact"/>
        <w:jc w:val="center"/>
        <w:outlineLvl w:val="0"/>
        <w:rPr>
          <w:rFonts w:hint="eastAsia" w:eastAsia="黑体"/>
          <w:sz w:val="44"/>
          <w:szCs w:val="44"/>
        </w:rPr>
      </w:pPr>
      <w:bookmarkStart w:id="96" w:name="_Toc15396613"/>
      <w:bookmarkStart w:id="97" w:name="_Toc15377225"/>
    </w:p>
    <w:p w14:paraId="4274F6EF">
      <w:pPr>
        <w:spacing w:line="600" w:lineRule="exact"/>
        <w:jc w:val="center"/>
        <w:outlineLvl w:val="0"/>
        <w:rPr>
          <w:rFonts w:hint="eastAsia" w:eastAsia="黑体"/>
          <w:sz w:val="44"/>
          <w:szCs w:val="44"/>
        </w:rPr>
      </w:pPr>
    </w:p>
    <w:p w14:paraId="6925AE6B">
      <w:pPr>
        <w:spacing w:line="600" w:lineRule="exact"/>
        <w:jc w:val="center"/>
        <w:outlineLvl w:val="0"/>
        <w:rPr>
          <w:rFonts w:hint="eastAsia" w:eastAsia="黑体"/>
          <w:sz w:val="44"/>
          <w:szCs w:val="44"/>
        </w:rPr>
      </w:pPr>
    </w:p>
    <w:p w14:paraId="5BA5F834">
      <w:pPr>
        <w:spacing w:line="600" w:lineRule="exact"/>
        <w:jc w:val="center"/>
        <w:outlineLvl w:val="0"/>
        <w:rPr>
          <w:rFonts w:hint="eastAsia" w:eastAsia="黑体"/>
          <w:sz w:val="44"/>
          <w:szCs w:val="44"/>
        </w:rPr>
      </w:pPr>
    </w:p>
    <w:p w14:paraId="237AC16D">
      <w:pPr>
        <w:spacing w:line="600" w:lineRule="exact"/>
        <w:jc w:val="center"/>
        <w:outlineLvl w:val="0"/>
        <w:rPr>
          <w:rFonts w:hint="eastAsia" w:eastAsia="黑体"/>
          <w:sz w:val="44"/>
          <w:szCs w:val="44"/>
        </w:rPr>
      </w:pPr>
    </w:p>
    <w:p w14:paraId="6558071F">
      <w:pPr>
        <w:spacing w:line="600" w:lineRule="exact"/>
        <w:jc w:val="center"/>
        <w:outlineLvl w:val="0"/>
        <w:rPr>
          <w:rFonts w:hint="eastAsia" w:eastAsia="黑体"/>
          <w:sz w:val="44"/>
          <w:szCs w:val="44"/>
        </w:rPr>
      </w:pPr>
    </w:p>
    <w:p w14:paraId="20619212">
      <w:pPr>
        <w:spacing w:line="600" w:lineRule="exact"/>
        <w:jc w:val="center"/>
        <w:outlineLvl w:val="0"/>
        <w:rPr>
          <w:rFonts w:hint="eastAsia" w:eastAsia="黑体"/>
          <w:sz w:val="44"/>
          <w:szCs w:val="44"/>
        </w:rPr>
      </w:pPr>
    </w:p>
    <w:p w14:paraId="2A59135E">
      <w:pPr>
        <w:spacing w:line="600" w:lineRule="exact"/>
        <w:jc w:val="center"/>
        <w:outlineLvl w:val="0"/>
        <w:rPr>
          <w:rFonts w:hint="eastAsia" w:eastAsia="黑体"/>
          <w:sz w:val="44"/>
          <w:szCs w:val="44"/>
        </w:rPr>
      </w:pPr>
    </w:p>
    <w:p w14:paraId="7598FCD5">
      <w:pPr>
        <w:spacing w:line="600" w:lineRule="exact"/>
        <w:jc w:val="center"/>
        <w:outlineLvl w:val="0"/>
        <w:rPr>
          <w:rFonts w:hint="eastAsia" w:eastAsia="黑体"/>
          <w:sz w:val="44"/>
          <w:szCs w:val="44"/>
        </w:rPr>
      </w:pPr>
    </w:p>
    <w:p w14:paraId="08D6D781">
      <w:pPr>
        <w:spacing w:line="600" w:lineRule="exact"/>
        <w:jc w:val="center"/>
        <w:outlineLvl w:val="0"/>
        <w:rPr>
          <w:rFonts w:eastAsia="黑体"/>
          <w:sz w:val="44"/>
          <w:szCs w:val="44"/>
        </w:rPr>
      </w:pPr>
      <w:r>
        <w:rPr>
          <w:rFonts w:hint="eastAsia" w:eastAsia="黑体"/>
          <w:sz w:val="44"/>
          <w:szCs w:val="44"/>
        </w:rPr>
        <w:t>第三部分</w:t>
      </w:r>
      <w:r>
        <w:rPr>
          <w:rFonts w:eastAsia="黑体"/>
          <w:sz w:val="44"/>
          <w:szCs w:val="44"/>
        </w:rPr>
        <w:t xml:space="preserve">  </w:t>
      </w:r>
      <w:r>
        <w:rPr>
          <w:rFonts w:hint="eastAsia" w:eastAsia="黑体"/>
          <w:sz w:val="44"/>
          <w:szCs w:val="44"/>
        </w:rPr>
        <w:t>名词解释</w:t>
      </w:r>
      <w:bookmarkEnd w:id="96"/>
      <w:bookmarkEnd w:id="97"/>
    </w:p>
    <w:p w14:paraId="7CF92D15">
      <w:pPr>
        <w:spacing w:line="600" w:lineRule="exact"/>
        <w:jc w:val="left"/>
        <w:rPr>
          <w:b/>
          <w:sz w:val="44"/>
          <w:szCs w:val="44"/>
        </w:rPr>
      </w:pPr>
    </w:p>
    <w:p w14:paraId="7571E58A">
      <w:pPr>
        <w:pStyle w:val="33"/>
        <w:spacing w:line="560" w:lineRule="exact"/>
        <w:ind w:left="420" w:firstLine="640" w:firstLineChars="200"/>
        <w:rPr>
          <w:rFonts w:ascii="Times New Roman" w:hAnsi="Times New Roman" w:eastAsia="仿宋_GB2312" w:cs="Times New Roman"/>
          <w:color w:val="auto"/>
          <w:sz w:val="32"/>
          <w:szCs w:val="32"/>
        </w:rPr>
      </w:pPr>
      <w:bookmarkStart w:id="98" w:name="_Toc15396614"/>
      <w:bookmarkStart w:id="99" w:name="_Toc15377226"/>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财政拨款收入：指单位从同级财政部门取得的财政预算资金。</w:t>
      </w:r>
    </w:p>
    <w:p w14:paraId="2FB00671">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事业收入：指事业单位开展专业业务活动及辅助活动取得的收入。</w:t>
      </w:r>
    </w:p>
    <w:p w14:paraId="6838FA3D">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经营收入：指事业单位在专业业务活动及其辅助活动之外开展非独立核算经营活动取得的收入。</w:t>
      </w:r>
    </w:p>
    <w:p w14:paraId="2B6576C5">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其他收入：指单位取得的除上述收入以外的各项收入。</w:t>
      </w:r>
    </w:p>
    <w:p w14:paraId="2404976D">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w:t>
      </w:r>
      <w:r>
        <w:rPr>
          <w:rFonts w:hint="eastAsia" w:ascii="Times New Roman" w:hAnsi="Times New Roman" w:eastAsia="仿宋_GB2312" w:cs="Times New Roman"/>
          <w:sz w:val="32"/>
          <w:szCs w:val="32"/>
        </w:rPr>
        <w:t>使用非财政拨款结余（含专用结余）</w:t>
      </w:r>
      <w:r>
        <w:rPr>
          <w:rFonts w:hint="eastAsia" w:ascii="Times New Roman" w:hAnsi="Times New Roman" w:eastAsia="仿宋_GB2312" w:cs="Times New Roman"/>
          <w:color w:val="auto"/>
          <w:sz w:val="32"/>
          <w:szCs w:val="32"/>
        </w:rPr>
        <w:t>：指事业单位使用以前年度积累的非财政拨款结余弥补当年收支差额的金额。</w:t>
      </w:r>
      <w:r>
        <w:rPr>
          <w:rFonts w:ascii="Times New Roman" w:hAnsi="Times New Roman" w:eastAsia="仿宋_GB2312" w:cs="Times New Roman"/>
          <w:color w:val="auto"/>
          <w:sz w:val="32"/>
          <w:szCs w:val="32"/>
        </w:rPr>
        <w:t xml:space="preserve"> </w:t>
      </w:r>
    </w:p>
    <w:p w14:paraId="7981B453">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年初结转和结余：指以前年度尚未完成、结转到本年按有关规定继续使用的资金。</w:t>
      </w:r>
      <w:r>
        <w:rPr>
          <w:rFonts w:ascii="Times New Roman" w:hAnsi="Times New Roman" w:eastAsia="仿宋_GB2312" w:cs="Times New Roman"/>
          <w:color w:val="auto"/>
          <w:sz w:val="32"/>
          <w:szCs w:val="32"/>
        </w:rPr>
        <w:t xml:space="preserve"> </w:t>
      </w:r>
    </w:p>
    <w:p w14:paraId="48EA9CEF">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rPr>
        <w:t>结余分配：指事业单位按照会计制度规定缴纳的所得税、提取的专用结余以及转入非财政拨款结余的金额等。</w:t>
      </w:r>
    </w:p>
    <w:p w14:paraId="437954F2">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w:t>
      </w:r>
      <w:r>
        <w:rPr>
          <w:rFonts w:hint="eastAsia" w:ascii="Times New Roman" w:hAnsi="Times New Roman" w:eastAsia="仿宋_GB2312" w:cs="Times New Roman"/>
          <w:color w:val="auto"/>
          <w:sz w:val="32"/>
          <w:szCs w:val="32"/>
        </w:rPr>
        <w:t>年末结转和结余：指单位按有关规定结转到下年或以后年度继续使用的资金。</w:t>
      </w:r>
    </w:p>
    <w:p w14:paraId="555A3D47">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9.</w:t>
      </w:r>
      <w:r>
        <w:rPr>
          <w:rFonts w:hint="eastAsia" w:ascii="Times New Roman" w:hAnsi="Times New Roman" w:eastAsia="仿宋_GB2312" w:cs="Times New Roman"/>
          <w:color w:val="auto"/>
          <w:sz w:val="32"/>
          <w:szCs w:val="32"/>
        </w:rPr>
        <w:t>社会保障和就业（类）行政事业单位养老支出（款）机关事业单位基本养老保险缴费（项）支出：</w:t>
      </w:r>
      <w:bookmarkStart w:id="100" w:name="OLE_LINK70"/>
      <w:bookmarkStart w:id="101" w:name="OLE_LINK69"/>
      <w:r>
        <w:rPr>
          <w:rFonts w:hint="eastAsia" w:ascii="Times New Roman" w:hAnsi="Times New Roman" w:eastAsia="仿宋_GB2312" w:cs="Times New Roman"/>
          <w:color w:val="auto"/>
          <w:sz w:val="32"/>
          <w:szCs w:val="32"/>
        </w:rPr>
        <w:t>指事业单位实施养老保险制度由单位缴纳的基本养老保险费支出。</w:t>
      </w:r>
      <w:bookmarkEnd w:id="100"/>
      <w:bookmarkEnd w:id="101"/>
    </w:p>
    <w:p w14:paraId="45FF0A56">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社会保障和就业（类）行政事业单位养老支出（款）事业单位离退休（项）支出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指事业单位离退休支出。</w:t>
      </w:r>
    </w:p>
    <w:p w14:paraId="448225C6">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11.</w:t>
      </w:r>
      <w:r>
        <w:rPr>
          <w:rFonts w:hint="eastAsia" w:ascii="Times New Roman" w:hAnsi="Times New Roman" w:eastAsia="仿宋_GB2312" w:cs="Times New Roman"/>
          <w:color w:val="auto"/>
          <w:sz w:val="32"/>
          <w:szCs w:val="32"/>
        </w:rPr>
        <w:t>社会保障和就业（类）行政事业单位养老支出（款）机关事业单位职业年金缴费（项）支出：指事业单位实施养老保险制度由单位缴纳的职业年金支出。</w:t>
      </w:r>
    </w:p>
    <w:p w14:paraId="292188A8">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12.</w:t>
      </w:r>
      <w:r>
        <w:rPr>
          <w:rFonts w:hint="eastAsia" w:ascii="Times New Roman" w:hAnsi="Times New Roman" w:eastAsia="仿宋_GB2312" w:cs="Times New Roman"/>
          <w:color w:val="auto"/>
          <w:sz w:val="32"/>
          <w:szCs w:val="32"/>
        </w:rPr>
        <w:t>节能环保（类）自然生态保护（款）</w:t>
      </w:r>
      <w:r>
        <w:rPr>
          <w:rFonts w:hint="eastAsia" w:ascii="Times New Roman" w:hAnsi="Times New Roman" w:eastAsia="仿宋_GB2312" w:cs="Times New Roman"/>
          <w:color w:val="auto"/>
          <w:sz w:val="32"/>
          <w:szCs w:val="32"/>
          <w:lang w:eastAsia="zh-CN"/>
        </w:rPr>
        <w:t>自然保护地</w:t>
      </w:r>
      <w:r>
        <w:rPr>
          <w:rFonts w:hint="eastAsia" w:ascii="Times New Roman" w:hAnsi="Times New Roman" w:eastAsia="仿宋_GB2312" w:cs="Times New Roman"/>
          <w:color w:val="auto"/>
          <w:sz w:val="32"/>
          <w:szCs w:val="32"/>
        </w:rPr>
        <w:t>（项）支出：指自然保护区建设、调查、规划、监测、管护、生态修复、野生动植物保护、设施设备维护、宣传及管理等方面的支出。</w:t>
      </w:r>
    </w:p>
    <w:p w14:paraId="23166302">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13.</w:t>
      </w:r>
      <w:r>
        <w:rPr>
          <w:rFonts w:hint="eastAsia" w:ascii="Times New Roman" w:hAnsi="Times New Roman" w:eastAsia="仿宋_GB2312" w:cs="Times New Roman"/>
          <w:color w:val="auto"/>
          <w:sz w:val="32"/>
          <w:szCs w:val="32"/>
        </w:rPr>
        <w:t>农林水（类）</w:t>
      </w:r>
      <w:bookmarkStart w:id="102" w:name="OLE_LINK71"/>
      <w:bookmarkStart w:id="103" w:name="OLE_LINK72"/>
      <w:bookmarkStart w:id="104" w:name="OLE_LINK73"/>
      <w:r>
        <w:rPr>
          <w:rFonts w:hint="eastAsia" w:ascii="Times New Roman" w:hAnsi="Times New Roman" w:eastAsia="仿宋_GB2312" w:cs="Times New Roman"/>
          <w:color w:val="auto"/>
          <w:sz w:val="32"/>
          <w:szCs w:val="32"/>
        </w:rPr>
        <w:t>林业和草原</w:t>
      </w:r>
      <w:bookmarkEnd w:id="102"/>
      <w:bookmarkEnd w:id="103"/>
      <w:bookmarkEnd w:id="104"/>
      <w:r>
        <w:rPr>
          <w:rFonts w:hint="eastAsia" w:ascii="Times New Roman" w:hAnsi="Times New Roman" w:eastAsia="仿宋_GB2312" w:cs="Times New Roman"/>
          <w:color w:val="auto"/>
          <w:sz w:val="32"/>
          <w:szCs w:val="32"/>
        </w:rPr>
        <w:t>（款）事业机构（项）支出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指事业单位的基本支出。</w:t>
      </w:r>
    </w:p>
    <w:p w14:paraId="2FFFC397">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14.</w:t>
      </w:r>
      <w:r>
        <w:rPr>
          <w:rFonts w:hint="eastAsia" w:ascii="Times New Roman" w:hAnsi="Times New Roman" w:eastAsia="仿宋_GB2312" w:cs="Times New Roman"/>
          <w:color w:val="auto"/>
          <w:sz w:val="32"/>
          <w:szCs w:val="32"/>
        </w:rPr>
        <w:t>农林水（类）</w:t>
      </w:r>
      <w:r>
        <w:rPr>
          <w:rFonts w:hint="eastAsia" w:eastAsia="仿宋_GB2312"/>
          <w:sz w:val="32"/>
          <w:szCs w:val="32"/>
        </w:rPr>
        <w:t>林业和草原</w:t>
      </w:r>
      <w:r>
        <w:rPr>
          <w:rFonts w:hint="eastAsia" w:ascii="Times New Roman" w:hAnsi="Times New Roman" w:eastAsia="仿宋_GB2312" w:cs="Times New Roman"/>
          <w:color w:val="auto"/>
          <w:sz w:val="32"/>
          <w:szCs w:val="32"/>
        </w:rPr>
        <w:t>（款）森林资源管理（项）支出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指森林资源核查、监测、评估、经营利用、林地保护等方面的支出。</w:t>
      </w:r>
    </w:p>
    <w:p w14:paraId="7BC67F8A">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15.</w:t>
      </w:r>
      <w:r>
        <w:rPr>
          <w:rFonts w:hint="eastAsia" w:ascii="Times New Roman" w:hAnsi="Times New Roman" w:eastAsia="仿宋_GB2312" w:cs="Times New Roman"/>
          <w:color w:val="auto"/>
          <w:sz w:val="32"/>
          <w:szCs w:val="32"/>
        </w:rPr>
        <w:t>农林水（类）</w:t>
      </w:r>
      <w:r>
        <w:rPr>
          <w:rFonts w:hint="eastAsia" w:eastAsia="仿宋_GB2312"/>
          <w:sz w:val="32"/>
          <w:szCs w:val="32"/>
        </w:rPr>
        <w:t>林业和草原</w:t>
      </w:r>
      <w:r>
        <w:rPr>
          <w:rFonts w:hint="eastAsia" w:ascii="Times New Roman" w:hAnsi="Times New Roman" w:eastAsia="仿宋_GB2312" w:cs="Times New Roman"/>
          <w:color w:val="auto"/>
          <w:sz w:val="32"/>
          <w:szCs w:val="32"/>
        </w:rPr>
        <w:t>（款）</w:t>
      </w:r>
      <w:bookmarkStart w:id="119" w:name="_GoBack"/>
      <w:r>
        <w:rPr>
          <w:rFonts w:hint="eastAsia" w:ascii="Times New Roman" w:hAnsi="Times New Roman" w:eastAsia="仿宋_GB2312" w:cs="Times New Roman"/>
          <w:color w:val="auto"/>
          <w:sz w:val="32"/>
          <w:szCs w:val="32"/>
          <w:lang w:eastAsia="zh-CN"/>
        </w:rPr>
        <w:t>其他</w:t>
      </w:r>
      <w:bookmarkEnd w:id="119"/>
      <w:r>
        <w:rPr>
          <w:rFonts w:hint="eastAsia" w:ascii="Times New Roman" w:hAnsi="Times New Roman" w:eastAsia="仿宋_GB2312" w:cs="Times New Roman"/>
          <w:color w:val="auto"/>
          <w:sz w:val="32"/>
          <w:szCs w:val="32"/>
        </w:rPr>
        <w:t>林业和草原（项）支出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指其他林业和草原支出。</w:t>
      </w:r>
    </w:p>
    <w:p w14:paraId="66B28029">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16. </w:t>
      </w:r>
      <w:r>
        <w:rPr>
          <w:rFonts w:hint="eastAsia" w:ascii="Times New Roman" w:hAnsi="Times New Roman" w:eastAsia="仿宋_GB2312" w:cs="Times New Roman"/>
          <w:color w:val="auto"/>
          <w:sz w:val="32"/>
          <w:szCs w:val="32"/>
        </w:rPr>
        <w:t>住房保障（类）住房改革（款）住房公积金（项）支出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指住房公积金支出。</w:t>
      </w:r>
    </w:p>
    <w:p w14:paraId="51FFF2B5">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17.</w:t>
      </w:r>
      <w:r>
        <w:rPr>
          <w:rFonts w:hint="eastAsia" w:ascii="Times New Roman" w:hAnsi="Times New Roman" w:eastAsia="仿宋_GB2312" w:cs="Times New Roman"/>
          <w:color w:val="auto"/>
          <w:sz w:val="32"/>
          <w:szCs w:val="32"/>
        </w:rPr>
        <w:t>基本支出：指为保障机构正常运转、完成日常工作任务而发生的人员支出和公用支出。</w:t>
      </w:r>
    </w:p>
    <w:p w14:paraId="1F4DF740">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18.</w:t>
      </w:r>
      <w:r>
        <w:rPr>
          <w:rFonts w:hint="eastAsia" w:ascii="Times New Roman" w:hAnsi="Times New Roman" w:eastAsia="仿宋_GB2312" w:cs="Times New Roman"/>
          <w:color w:val="auto"/>
          <w:sz w:val="32"/>
          <w:szCs w:val="32"/>
        </w:rPr>
        <w:t>项目支出：指在基本支出之外为完成特定行政任务和事业发展目标所发生的支出。</w:t>
      </w:r>
      <w:r>
        <w:rPr>
          <w:rFonts w:ascii="Times New Roman" w:hAnsi="Times New Roman" w:eastAsia="仿宋_GB2312" w:cs="Times New Roman"/>
          <w:color w:val="auto"/>
          <w:sz w:val="32"/>
          <w:szCs w:val="32"/>
        </w:rPr>
        <w:t xml:space="preserve"> </w:t>
      </w:r>
    </w:p>
    <w:p w14:paraId="4F787775">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19.</w:t>
      </w:r>
      <w:r>
        <w:rPr>
          <w:rFonts w:hint="eastAsia" w:ascii="Times New Roman" w:hAnsi="Times New Roman" w:eastAsia="仿宋_GB2312" w:cs="Times New Roman"/>
          <w:color w:val="auto"/>
          <w:sz w:val="32"/>
          <w:szCs w:val="32"/>
        </w:rPr>
        <w:t>经营支出：指事业单位在专业业务活动及其辅助活动之外开展非独立核算经营活动发生的支出。</w:t>
      </w:r>
    </w:p>
    <w:p w14:paraId="7635F28C">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三公</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C402322">
      <w:pPr>
        <w:pStyle w:val="33"/>
        <w:spacing w:line="560" w:lineRule="exact"/>
        <w:ind w:left="42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w:t>
      </w:r>
      <w:r>
        <w:rPr>
          <w:rFonts w:hint="eastAsia"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98"/>
    <w:p w14:paraId="58018DB5">
      <w:pPr>
        <w:spacing w:line="600" w:lineRule="exact"/>
        <w:jc w:val="center"/>
        <w:outlineLvl w:val="0"/>
        <w:rPr>
          <w:rFonts w:hint="eastAsia" w:ascii="黑体" w:hAnsi="黑体" w:eastAsia="黑体"/>
          <w:sz w:val="44"/>
          <w:szCs w:val="44"/>
        </w:rPr>
      </w:pPr>
      <w:bookmarkStart w:id="105" w:name="_Toc15396618"/>
    </w:p>
    <w:p w14:paraId="5C9FE843">
      <w:pPr>
        <w:spacing w:line="600" w:lineRule="exact"/>
        <w:jc w:val="center"/>
        <w:outlineLvl w:val="0"/>
        <w:rPr>
          <w:rFonts w:hint="eastAsia" w:ascii="黑体" w:hAnsi="黑体" w:eastAsia="黑体"/>
          <w:sz w:val="44"/>
          <w:szCs w:val="44"/>
        </w:rPr>
      </w:pPr>
    </w:p>
    <w:p w14:paraId="5856EF48">
      <w:pPr>
        <w:spacing w:line="600" w:lineRule="exact"/>
        <w:jc w:val="center"/>
        <w:outlineLvl w:val="0"/>
        <w:rPr>
          <w:rFonts w:hint="eastAsia" w:ascii="黑体" w:hAnsi="黑体" w:eastAsia="黑体"/>
          <w:sz w:val="44"/>
          <w:szCs w:val="44"/>
        </w:rPr>
      </w:pPr>
    </w:p>
    <w:p w14:paraId="4D654BC4">
      <w:pPr>
        <w:spacing w:line="600" w:lineRule="exact"/>
        <w:jc w:val="center"/>
        <w:outlineLvl w:val="0"/>
        <w:rPr>
          <w:rFonts w:hint="eastAsia" w:ascii="黑体" w:hAnsi="黑体" w:eastAsia="黑体"/>
          <w:sz w:val="44"/>
          <w:szCs w:val="44"/>
        </w:rPr>
      </w:pPr>
    </w:p>
    <w:p w14:paraId="18DEA067">
      <w:pPr>
        <w:spacing w:line="600" w:lineRule="exact"/>
        <w:jc w:val="center"/>
        <w:outlineLvl w:val="0"/>
        <w:rPr>
          <w:rFonts w:hint="eastAsia" w:ascii="黑体" w:hAnsi="黑体" w:eastAsia="黑体"/>
          <w:sz w:val="44"/>
          <w:szCs w:val="44"/>
        </w:rPr>
      </w:pPr>
    </w:p>
    <w:p w14:paraId="662E65C4">
      <w:pPr>
        <w:spacing w:line="600" w:lineRule="exact"/>
        <w:jc w:val="center"/>
        <w:outlineLvl w:val="0"/>
        <w:rPr>
          <w:rFonts w:hint="eastAsia" w:ascii="黑体" w:hAnsi="黑体" w:eastAsia="黑体"/>
          <w:sz w:val="44"/>
          <w:szCs w:val="44"/>
        </w:rPr>
      </w:pPr>
    </w:p>
    <w:p w14:paraId="434559C2">
      <w:pPr>
        <w:spacing w:line="600" w:lineRule="exact"/>
        <w:jc w:val="center"/>
        <w:outlineLvl w:val="0"/>
        <w:rPr>
          <w:rFonts w:hint="eastAsia" w:ascii="黑体" w:hAnsi="黑体" w:eastAsia="黑体"/>
          <w:sz w:val="44"/>
          <w:szCs w:val="44"/>
        </w:rPr>
      </w:pPr>
    </w:p>
    <w:p w14:paraId="774D7B98">
      <w:pPr>
        <w:spacing w:line="600" w:lineRule="exact"/>
        <w:jc w:val="center"/>
        <w:outlineLvl w:val="0"/>
        <w:rPr>
          <w:rFonts w:hint="eastAsia" w:ascii="黑体" w:hAnsi="黑体" w:eastAsia="黑体"/>
          <w:sz w:val="44"/>
          <w:szCs w:val="44"/>
        </w:rPr>
      </w:pPr>
    </w:p>
    <w:p w14:paraId="4B6B0561">
      <w:pPr>
        <w:spacing w:line="600" w:lineRule="exact"/>
        <w:jc w:val="center"/>
        <w:outlineLvl w:val="0"/>
        <w:rPr>
          <w:rFonts w:hint="eastAsia" w:ascii="黑体" w:hAnsi="黑体" w:eastAsia="黑体"/>
          <w:sz w:val="44"/>
          <w:szCs w:val="44"/>
        </w:rPr>
      </w:pPr>
    </w:p>
    <w:p w14:paraId="704B7BD4">
      <w:pPr>
        <w:spacing w:line="600" w:lineRule="exact"/>
        <w:jc w:val="center"/>
        <w:outlineLvl w:val="0"/>
        <w:rPr>
          <w:rFonts w:hint="eastAsia" w:ascii="黑体" w:hAnsi="黑体" w:eastAsia="黑体"/>
          <w:sz w:val="44"/>
          <w:szCs w:val="44"/>
        </w:rPr>
      </w:pPr>
    </w:p>
    <w:p w14:paraId="3C811B41">
      <w:pPr>
        <w:spacing w:line="600" w:lineRule="exact"/>
        <w:jc w:val="center"/>
        <w:outlineLvl w:val="0"/>
        <w:rPr>
          <w:rFonts w:hint="eastAsia" w:ascii="黑体" w:hAnsi="黑体" w:eastAsia="黑体"/>
          <w:sz w:val="44"/>
          <w:szCs w:val="44"/>
        </w:rPr>
      </w:pPr>
    </w:p>
    <w:p w14:paraId="302F43AE">
      <w:pPr>
        <w:spacing w:line="600" w:lineRule="exact"/>
        <w:jc w:val="center"/>
        <w:outlineLvl w:val="0"/>
        <w:rPr>
          <w:rStyle w:val="38"/>
          <w:rFonts w:ascii="黑体" w:hAnsi="黑体" w:eastAsia="黑体"/>
          <w:b w:val="0"/>
          <w:bCs/>
          <w:szCs w:val="44"/>
        </w:rPr>
      </w:pPr>
      <w:r>
        <w:rPr>
          <w:rFonts w:hint="eastAsia" w:ascii="黑体" w:hAnsi="黑体" w:eastAsia="黑体"/>
          <w:sz w:val="44"/>
          <w:szCs w:val="44"/>
        </w:rPr>
        <w:t>第</w:t>
      </w:r>
      <w:r>
        <w:rPr>
          <w:rStyle w:val="38"/>
          <w:rFonts w:hint="eastAsia" w:ascii="黑体" w:hAnsi="黑体" w:eastAsia="黑体"/>
          <w:b w:val="0"/>
          <w:bCs/>
          <w:szCs w:val="44"/>
        </w:rPr>
        <w:t>四部分</w:t>
      </w:r>
      <w:r>
        <w:rPr>
          <w:rStyle w:val="38"/>
          <w:rFonts w:ascii="黑体" w:hAnsi="黑体" w:eastAsia="黑体"/>
          <w:b w:val="0"/>
          <w:bCs/>
          <w:szCs w:val="44"/>
        </w:rPr>
        <w:t xml:space="preserve"> </w:t>
      </w:r>
      <w:r>
        <w:rPr>
          <w:rStyle w:val="38"/>
          <w:rFonts w:hint="eastAsia" w:ascii="黑体" w:hAnsi="黑体" w:eastAsia="黑体"/>
          <w:b w:val="0"/>
          <w:bCs/>
          <w:szCs w:val="44"/>
        </w:rPr>
        <w:t>附件</w:t>
      </w:r>
    </w:p>
    <w:p w14:paraId="39FD32F8">
      <w:pPr>
        <w:spacing w:line="572" w:lineRule="exact"/>
        <w:jc w:val="left"/>
        <w:outlineLvl w:val="0"/>
        <w:rPr>
          <w:rFonts w:ascii="仿宋_GB2312" w:hAnsi="仿宋_GB2312" w:eastAsia="仿宋_GB2312" w:cs="仿宋_GB2312"/>
          <w:sz w:val="32"/>
          <w:szCs w:val="32"/>
        </w:rPr>
      </w:pPr>
    </w:p>
    <w:p w14:paraId="54768F1A">
      <w:pPr>
        <w:spacing w:line="600" w:lineRule="exact"/>
        <w:jc w:val="center"/>
        <w:outlineLvl w:val="0"/>
        <w:rPr>
          <w:rFonts w:ascii="黑体" w:eastAsia="黑体"/>
          <w:color w:val="FF0000"/>
          <w:sz w:val="44"/>
          <w:szCs w:val="44"/>
        </w:rPr>
      </w:pPr>
      <w:r>
        <w:rPr>
          <w:rFonts w:hint="eastAsia"/>
          <w:sz w:val="32"/>
          <w:szCs w:val="32"/>
        </w:rPr>
        <w:t>部门预算项目支出绩效自评表（</w:t>
      </w:r>
      <w:r>
        <w:rPr>
          <w:sz w:val="32"/>
          <w:szCs w:val="32"/>
        </w:rPr>
        <w:t>2024</w:t>
      </w:r>
      <w:r>
        <w:rPr>
          <w:rFonts w:hint="eastAsia"/>
          <w:sz w:val="32"/>
          <w:szCs w:val="32"/>
        </w:rPr>
        <w:t>年度）见附件</w:t>
      </w:r>
      <w:r>
        <w:rPr>
          <w:rFonts w:hint="eastAsia"/>
          <w:sz w:val="32"/>
          <w:szCs w:val="32"/>
          <w:lang w:val="en-US" w:eastAsia="zh-CN"/>
        </w:rPr>
        <w:t>3</w:t>
      </w:r>
      <w:r>
        <w:rPr>
          <w:rFonts w:hint="eastAsia"/>
          <w:sz w:val="32"/>
          <w:szCs w:val="32"/>
        </w:rPr>
        <w:t>。</w:t>
      </w:r>
    </w:p>
    <w:p w14:paraId="0FC9E66C">
      <w:pPr>
        <w:pStyle w:val="8"/>
        <w:spacing w:before="93"/>
        <w:rPr>
          <w:rFonts w:cs="仿宋"/>
          <w:sz w:val="32"/>
          <w:szCs w:val="32"/>
        </w:rPr>
      </w:pPr>
    </w:p>
    <w:p w14:paraId="062EED04">
      <w:pPr>
        <w:widowControl/>
        <w:jc w:val="center"/>
        <w:rPr>
          <w:rStyle w:val="19"/>
          <w:rFonts w:eastAsia="黑体"/>
          <w:b w:val="0"/>
        </w:rPr>
      </w:pPr>
    </w:p>
    <w:p w14:paraId="115916C9">
      <w:pPr>
        <w:pStyle w:val="2"/>
        <w:rPr>
          <w:rStyle w:val="19"/>
          <w:rFonts w:eastAsia="黑体"/>
          <w:b w:val="0"/>
        </w:rPr>
      </w:pPr>
    </w:p>
    <w:p w14:paraId="10500F6F">
      <w:pPr>
        <w:pStyle w:val="3"/>
        <w:rPr>
          <w:rStyle w:val="19"/>
          <w:rFonts w:eastAsia="黑体"/>
          <w:b w:val="0"/>
        </w:rPr>
      </w:pPr>
    </w:p>
    <w:p w14:paraId="2888F23E">
      <w:pPr>
        <w:pStyle w:val="3"/>
        <w:rPr>
          <w:rStyle w:val="19"/>
          <w:rFonts w:eastAsia="黑体"/>
          <w:b w:val="0"/>
        </w:rPr>
      </w:pPr>
    </w:p>
    <w:p w14:paraId="5D674D4A">
      <w:pPr>
        <w:pStyle w:val="3"/>
        <w:rPr>
          <w:rStyle w:val="19"/>
          <w:rFonts w:eastAsia="黑体"/>
          <w:b w:val="0"/>
        </w:rPr>
      </w:pPr>
    </w:p>
    <w:p w14:paraId="52E191FE">
      <w:pPr>
        <w:pStyle w:val="3"/>
        <w:rPr>
          <w:rStyle w:val="19"/>
          <w:rFonts w:eastAsia="黑体"/>
          <w:b w:val="0"/>
        </w:rPr>
      </w:pPr>
    </w:p>
    <w:p w14:paraId="18B4DEFF">
      <w:pPr>
        <w:pStyle w:val="3"/>
        <w:rPr>
          <w:rStyle w:val="19"/>
          <w:rFonts w:eastAsia="黑体"/>
          <w:b w:val="0"/>
        </w:rPr>
      </w:pPr>
    </w:p>
    <w:p w14:paraId="11CAFFF9">
      <w:pPr>
        <w:pStyle w:val="3"/>
        <w:rPr>
          <w:rStyle w:val="19"/>
          <w:rFonts w:eastAsia="黑体"/>
          <w:b w:val="0"/>
        </w:rPr>
      </w:pPr>
    </w:p>
    <w:p w14:paraId="556C2F0A">
      <w:pPr>
        <w:pStyle w:val="3"/>
        <w:rPr>
          <w:rStyle w:val="19"/>
          <w:rFonts w:eastAsia="黑体"/>
          <w:b w:val="0"/>
        </w:rPr>
      </w:pPr>
    </w:p>
    <w:p w14:paraId="3AE30059">
      <w:pPr>
        <w:pStyle w:val="3"/>
        <w:rPr>
          <w:rStyle w:val="19"/>
          <w:rFonts w:eastAsia="黑体"/>
          <w:b w:val="0"/>
        </w:rPr>
      </w:pPr>
    </w:p>
    <w:p w14:paraId="63A67AC4">
      <w:pPr>
        <w:pStyle w:val="3"/>
        <w:rPr>
          <w:rStyle w:val="19"/>
          <w:rFonts w:eastAsia="黑体"/>
          <w:b w:val="0"/>
        </w:rPr>
      </w:pPr>
    </w:p>
    <w:p w14:paraId="58C1090B">
      <w:pPr>
        <w:pStyle w:val="3"/>
        <w:rPr>
          <w:rStyle w:val="19"/>
          <w:rFonts w:eastAsia="黑体"/>
          <w:b w:val="0"/>
        </w:rPr>
      </w:pPr>
    </w:p>
    <w:p w14:paraId="13D9B5F0">
      <w:pPr>
        <w:pStyle w:val="3"/>
        <w:rPr>
          <w:rStyle w:val="19"/>
          <w:rFonts w:eastAsia="黑体"/>
          <w:b w:val="0"/>
        </w:rPr>
      </w:pPr>
    </w:p>
    <w:p w14:paraId="737D201F">
      <w:pPr>
        <w:pStyle w:val="3"/>
        <w:rPr>
          <w:rStyle w:val="19"/>
          <w:rFonts w:eastAsia="黑体"/>
          <w:b w:val="0"/>
        </w:rPr>
      </w:pPr>
    </w:p>
    <w:p w14:paraId="501FB727">
      <w:pPr>
        <w:pStyle w:val="3"/>
        <w:rPr>
          <w:rStyle w:val="19"/>
          <w:rFonts w:eastAsia="黑体"/>
          <w:b w:val="0"/>
        </w:rPr>
      </w:pPr>
    </w:p>
    <w:p w14:paraId="6C68F2C0">
      <w:pPr>
        <w:pStyle w:val="3"/>
        <w:ind w:left="0" w:leftChars="0" w:firstLine="0" w:firstLineChars="0"/>
        <w:rPr>
          <w:rStyle w:val="19"/>
          <w:rFonts w:eastAsia="黑体"/>
          <w:b w:val="0"/>
        </w:rPr>
      </w:pPr>
    </w:p>
    <w:p w14:paraId="521567A6">
      <w:pPr>
        <w:widowControl/>
        <w:ind w:firstLine="2640" w:firstLineChars="600"/>
        <w:rPr>
          <w:rFonts w:eastAsia="仿宋"/>
        </w:rPr>
      </w:pPr>
      <w:r>
        <w:rPr>
          <w:rStyle w:val="19"/>
          <w:rFonts w:hint="eastAsia" w:eastAsia="黑体"/>
          <w:b w:val="0"/>
        </w:rPr>
        <w:t>第五部分</w:t>
      </w:r>
      <w:r>
        <w:rPr>
          <w:rStyle w:val="19"/>
          <w:rFonts w:eastAsia="黑体"/>
          <w:b w:val="0"/>
        </w:rPr>
        <w:t xml:space="preserve"> </w:t>
      </w:r>
      <w:r>
        <w:rPr>
          <w:rStyle w:val="19"/>
          <w:rFonts w:hint="eastAsia" w:eastAsia="黑体"/>
          <w:b w:val="0"/>
        </w:rPr>
        <w:t>附表</w:t>
      </w:r>
      <w:bookmarkEnd w:id="99"/>
      <w:bookmarkEnd w:id="105"/>
      <w:bookmarkStart w:id="106" w:name="_Toc15396619"/>
    </w:p>
    <w:p w14:paraId="2AFA940D">
      <w:pPr>
        <w:pStyle w:val="14"/>
        <w:adjustRightInd w:val="0"/>
        <w:snapToGrid w:val="0"/>
        <w:spacing w:line="560" w:lineRule="exact"/>
        <w:jc w:val="left"/>
        <w:rPr>
          <w:rFonts w:eastAsia="仿宋_GB2312"/>
          <w:sz w:val="32"/>
          <w:szCs w:val="32"/>
        </w:rPr>
      </w:pPr>
    </w:p>
    <w:p w14:paraId="5DF39FA0">
      <w:pPr>
        <w:pStyle w:val="14"/>
        <w:adjustRightInd w:val="0"/>
        <w:snapToGrid w:val="0"/>
        <w:spacing w:line="560" w:lineRule="exact"/>
        <w:jc w:val="left"/>
        <w:rPr>
          <w:rFonts w:eastAsia="仿宋_GB2312"/>
          <w:sz w:val="32"/>
          <w:szCs w:val="32"/>
        </w:rPr>
      </w:pPr>
      <w:r>
        <w:rPr>
          <w:rFonts w:hint="eastAsia" w:eastAsia="仿宋_GB2312"/>
          <w:sz w:val="32"/>
          <w:szCs w:val="32"/>
        </w:rPr>
        <w:t>一、收入支出决算总表</w:t>
      </w:r>
      <w:bookmarkEnd w:id="106"/>
    </w:p>
    <w:p w14:paraId="4EB4EB23">
      <w:pPr>
        <w:pStyle w:val="14"/>
        <w:adjustRightInd w:val="0"/>
        <w:snapToGrid w:val="0"/>
        <w:spacing w:line="560" w:lineRule="exact"/>
        <w:jc w:val="left"/>
        <w:rPr>
          <w:rFonts w:eastAsia="仿宋_GB2312"/>
          <w:sz w:val="32"/>
          <w:szCs w:val="32"/>
        </w:rPr>
      </w:pPr>
      <w:bookmarkStart w:id="107" w:name="_Toc15396620"/>
      <w:r>
        <w:rPr>
          <w:rFonts w:hint="eastAsia" w:eastAsia="仿宋_GB2312"/>
          <w:sz w:val="32"/>
          <w:szCs w:val="32"/>
        </w:rPr>
        <w:t>二、收入决算表</w:t>
      </w:r>
      <w:bookmarkEnd w:id="107"/>
    </w:p>
    <w:p w14:paraId="3E3216EC">
      <w:pPr>
        <w:pStyle w:val="14"/>
        <w:adjustRightInd w:val="0"/>
        <w:snapToGrid w:val="0"/>
        <w:spacing w:line="560" w:lineRule="exact"/>
        <w:jc w:val="left"/>
        <w:rPr>
          <w:rFonts w:eastAsia="仿宋_GB2312"/>
          <w:sz w:val="32"/>
          <w:szCs w:val="32"/>
        </w:rPr>
      </w:pPr>
      <w:bookmarkStart w:id="108" w:name="_Toc15396621"/>
      <w:r>
        <w:rPr>
          <w:rFonts w:hint="eastAsia" w:eastAsia="仿宋_GB2312"/>
          <w:sz w:val="32"/>
          <w:szCs w:val="32"/>
        </w:rPr>
        <w:t>三、支出决算表</w:t>
      </w:r>
      <w:bookmarkEnd w:id="108"/>
    </w:p>
    <w:p w14:paraId="66E267BF">
      <w:pPr>
        <w:pStyle w:val="14"/>
        <w:adjustRightInd w:val="0"/>
        <w:snapToGrid w:val="0"/>
        <w:spacing w:line="560" w:lineRule="exact"/>
        <w:jc w:val="left"/>
        <w:rPr>
          <w:rFonts w:eastAsia="仿宋_GB2312"/>
          <w:sz w:val="32"/>
          <w:szCs w:val="32"/>
        </w:rPr>
      </w:pPr>
      <w:bookmarkStart w:id="109" w:name="_Toc15396622"/>
      <w:r>
        <w:rPr>
          <w:rFonts w:hint="eastAsia" w:eastAsia="仿宋_GB2312"/>
          <w:sz w:val="32"/>
          <w:szCs w:val="32"/>
        </w:rPr>
        <w:t>四、财政拨款收入支出决算总表</w:t>
      </w:r>
      <w:bookmarkEnd w:id="109"/>
    </w:p>
    <w:p w14:paraId="3B8D3190">
      <w:pPr>
        <w:pStyle w:val="14"/>
        <w:adjustRightInd w:val="0"/>
        <w:snapToGrid w:val="0"/>
        <w:spacing w:line="560" w:lineRule="exact"/>
        <w:jc w:val="left"/>
        <w:rPr>
          <w:rFonts w:eastAsia="仿宋_GB2312"/>
          <w:sz w:val="32"/>
          <w:szCs w:val="32"/>
        </w:rPr>
      </w:pPr>
      <w:bookmarkStart w:id="110" w:name="_Toc15396623"/>
      <w:r>
        <w:rPr>
          <w:rFonts w:hint="eastAsia" w:eastAsia="仿宋_GB2312"/>
          <w:sz w:val="32"/>
          <w:szCs w:val="32"/>
        </w:rPr>
        <w:t>五、财政拨款支出决算明细表</w:t>
      </w:r>
      <w:bookmarkEnd w:id="110"/>
      <w:bookmarkStart w:id="111" w:name="_Toc15396624"/>
    </w:p>
    <w:p w14:paraId="2F9DEE32">
      <w:pPr>
        <w:pStyle w:val="14"/>
        <w:adjustRightInd w:val="0"/>
        <w:snapToGrid w:val="0"/>
        <w:spacing w:line="560" w:lineRule="exact"/>
        <w:jc w:val="left"/>
        <w:rPr>
          <w:rFonts w:eastAsia="仿宋_GB2312"/>
          <w:sz w:val="32"/>
          <w:szCs w:val="32"/>
        </w:rPr>
      </w:pPr>
      <w:r>
        <w:rPr>
          <w:rFonts w:hint="eastAsia" w:eastAsia="仿宋_GB2312"/>
          <w:sz w:val="32"/>
          <w:szCs w:val="32"/>
        </w:rPr>
        <w:t>六、一般公共预算财政拨款支出决算表</w:t>
      </w:r>
      <w:bookmarkEnd w:id="111"/>
    </w:p>
    <w:p w14:paraId="3673A623">
      <w:pPr>
        <w:pStyle w:val="14"/>
        <w:adjustRightInd w:val="0"/>
        <w:snapToGrid w:val="0"/>
        <w:spacing w:line="560" w:lineRule="exact"/>
        <w:jc w:val="left"/>
        <w:rPr>
          <w:rFonts w:eastAsia="仿宋_GB2312"/>
          <w:sz w:val="32"/>
          <w:szCs w:val="32"/>
        </w:rPr>
      </w:pPr>
      <w:bookmarkStart w:id="112" w:name="_Toc15396625"/>
      <w:r>
        <w:rPr>
          <w:rFonts w:hint="eastAsia" w:eastAsia="仿宋_GB2312"/>
          <w:sz w:val="32"/>
          <w:szCs w:val="32"/>
        </w:rPr>
        <w:t>七、一般公共预算财政拨款支出决算明细表</w:t>
      </w:r>
      <w:bookmarkEnd w:id="112"/>
    </w:p>
    <w:p w14:paraId="1C559420">
      <w:pPr>
        <w:pStyle w:val="14"/>
        <w:adjustRightInd w:val="0"/>
        <w:snapToGrid w:val="0"/>
        <w:spacing w:line="560" w:lineRule="exact"/>
        <w:jc w:val="left"/>
        <w:rPr>
          <w:rFonts w:eastAsia="仿宋_GB2312"/>
          <w:sz w:val="32"/>
          <w:szCs w:val="32"/>
        </w:rPr>
      </w:pPr>
      <w:bookmarkStart w:id="113" w:name="_Toc15396626"/>
      <w:r>
        <w:rPr>
          <w:rFonts w:hint="eastAsia" w:eastAsia="仿宋_GB2312"/>
          <w:sz w:val="32"/>
          <w:szCs w:val="32"/>
        </w:rPr>
        <w:t>八、一般公共预算财政拨款基本支出决算表</w:t>
      </w:r>
      <w:bookmarkEnd w:id="113"/>
    </w:p>
    <w:p w14:paraId="1F138AF9">
      <w:pPr>
        <w:pStyle w:val="14"/>
        <w:adjustRightInd w:val="0"/>
        <w:snapToGrid w:val="0"/>
        <w:spacing w:line="560" w:lineRule="exact"/>
        <w:jc w:val="left"/>
        <w:rPr>
          <w:rFonts w:eastAsia="仿宋_GB2312"/>
          <w:sz w:val="32"/>
          <w:szCs w:val="32"/>
        </w:rPr>
      </w:pPr>
      <w:bookmarkStart w:id="114" w:name="_Toc15396627"/>
      <w:r>
        <w:rPr>
          <w:rFonts w:hint="eastAsia" w:eastAsia="仿宋_GB2312"/>
          <w:sz w:val="32"/>
          <w:szCs w:val="32"/>
        </w:rPr>
        <w:t>九、一般公共预算财政拨款项目支出决算表</w:t>
      </w:r>
      <w:bookmarkEnd w:id="114"/>
    </w:p>
    <w:p w14:paraId="42F59E4B">
      <w:pPr>
        <w:pStyle w:val="14"/>
        <w:adjustRightInd w:val="0"/>
        <w:snapToGrid w:val="0"/>
        <w:spacing w:line="560" w:lineRule="exact"/>
        <w:jc w:val="left"/>
        <w:rPr>
          <w:rFonts w:eastAsia="仿宋_GB2312"/>
          <w:sz w:val="32"/>
          <w:szCs w:val="32"/>
        </w:rPr>
      </w:pPr>
      <w:bookmarkStart w:id="115" w:name="_Toc15396628"/>
      <w:r>
        <w:rPr>
          <w:rFonts w:hint="eastAsia" w:eastAsia="仿宋_GB2312"/>
          <w:sz w:val="32"/>
          <w:szCs w:val="32"/>
        </w:rPr>
        <w:t>十、</w:t>
      </w:r>
      <w:bookmarkEnd w:id="115"/>
      <w:r>
        <w:rPr>
          <w:rFonts w:hint="eastAsia" w:eastAsia="仿宋_GB2312"/>
          <w:sz w:val="32"/>
          <w:szCs w:val="32"/>
        </w:rPr>
        <w:t>政府性基金预算财政拨款收入支出决算表</w:t>
      </w:r>
    </w:p>
    <w:p w14:paraId="7A05772B">
      <w:pPr>
        <w:pStyle w:val="14"/>
        <w:adjustRightInd w:val="0"/>
        <w:snapToGrid w:val="0"/>
        <w:spacing w:line="560" w:lineRule="exact"/>
        <w:jc w:val="left"/>
        <w:rPr>
          <w:rFonts w:eastAsia="仿宋_GB2312"/>
          <w:sz w:val="32"/>
          <w:szCs w:val="32"/>
        </w:rPr>
      </w:pPr>
      <w:bookmarkStart w:id="116" w:name="_Toc15396629"/>
      <w:r>
        <w:rPr>
          <w:rFonts w:hint="eastAsia" w:eastAsia="仿宋_GB2312"/>
          <w:sz w:val="32"/>
          <w:szCs w:val="32"/>
        </w:rPr>
        <w:t>十一、</w:t>
      </w:r>
      <w:bookmarkEnd w:id="116"/>
      <w:r>
        <w:rPr>
          <w:rFonts w:hint="eastAsia" w:eastAsia="仿宋_GB2312"/>
          <w:sz w:val="32"/>
          <w:szCs w:val="32"/>
        </w:rPr>
        <w:t>国有资本经营预算财政拨款收入支出决算表</w:t>
      </w:r>
    </w:p>
    <w:p w14:paraId="705754B9">
      <w:pPr>
        <w:pStyle w:val="14"/>
        <w:adjustRightInd w:val="0"/>
        <w:snapToGrid w:val="0"/>
        <w:spacing w:line="560" w:lineRule="exact"/>
        <w:jc w:val="left"/>
        <w:rPr>
          <w:rFonts w:eastAsia="仿宋_GB2312"/>
          <w:sz w:val="32"/>
          <w:szCs w:val="32"/>
        </w:rPr>
      </w:pPr>
      <w:bookmarkStart w:id="117" w:name="_Toc15396630"/>
      <w:r>
        <w:rPr>
          <w:rFonts w:hint="eastAsia" w:eastAsia="仿宋_GB2312"/>
          <w:sz w:val="32"/>
          <w:szCs w:val="32"/>
        </w:rPr>
        <w:t>十二、</w:t>
      </w:r>
      <w:bookmarkEnd w:id="117"/>
      <w:r>
        <w:rPr>
          <w:rFonts w:hint="eastAsia" w:eastAsia="仿宋_GB2312"/>
          <w:sz w:val="32"/>
          <w:szCs w:val="32"/>
        </w:rPr>
        <w:t>国有资本经营预算财政拨款支出决算表</w:t>
      </w:r>
    </w:p>
    <w:p w14:paraId="408D3AE1">
      <w:pPr>
        <w:pStyle w:val="14"/>
        <w:adjustRightInd w:val="0"/>
        <w:snapToGrid w:val="0"/>
        <w:spacing w:line="560" w:lineRule="exact"/>
        <w:jc w:val="left"/>
      </w:pPr>
      <w:bookmarkStart w:id="118" w:name="_Toc15396631"/>
      <w:r>
        <w:rPr>
          <w:rFonts w:hint="eastAsia" w:eastAsia="仿宋_GB2312"/>
          <w:sz w:val="32"/>
          <w:szCs w:val="32"/>
        </w:rPr>
        <w:t>十三、</w:t>
      </w:r>
      <w:bookmarkEnd w:id="118"/>
      <w:r>
        <w:rPr>
          <w:rFonts w:hint="eastAsia" w:eastAsia="仿宋_GB2312"/>
          <w:sz w:val="32"/>
          <w:szCs w:val="32"/>
        </w:rPr>
        <w:t>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经费支出决算表</w:t>
      </w:r>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1EDC">
    <w:pPr>
      <w:pStyle w:val="11"/>
      <w:jc w:val="center"/>
    </w:pPr>
  </w:p>
  <w:p w14:paraId="09B0D72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48B79">
    <w:pPr>
      <w:pStyle w:val="11"/>
      <w:jc w:val="center"/>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7A50E90">
                <w:pPr>
                  <w:pStyle w:val="11"/>
                  <w:jc w:val="cente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w:t>
                </w:r>
                <w:r>
                  <w:rPr>
                    <w:rFonts w:hint="default" w:ascii="Times New Roman" w:hAnsi="Times New Roman" w:cs="Times New Roman"/>
                    <w:sz w:val="24"/>
                    <w:szCs w:val="24"/>
                  </w:rPr>
                  <w:t xml:space="preserve"> 16 -</w:t>
                </w:r>
                <w:r>
                  <w:rPr>
                    <w:rFonts w:hint="default" w:ascii="Times New Roman" w:hAnsi="Times New Roman" w:cs="Times New Roman"/>
                    <w:sz w:val="24"/>
                    <w:szCs w:val="24"/>
                  </w:rPr>
                  <w:fldChar w:fldCharType="end"/>
                </w:r>
              </w:p>
            </w:txbxContent>
          </v:textbox>
        </v:shape>
      </w:pict>
    </w:r>
  </w:p>
  <w:p w14:paraId="271E48E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E7B37">
    <w:pPr>
      <w:pStyle w:val="11"/>
    </w:pPr>
    <w:r>
      <w:rPr>
        <w:sz w:val="18"/>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EA3FCE1">
                <w:pPr>
                  <w:pStyle w:val="11"/>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439B3">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61BD2"/>
    <w:multiLevelType w:val="multilevel"/>
    <w:tmpl w:val="44C61BD2"/>
    <w:lvl w:ilvl="0" w:tentative="0">
      <w:start w:val="1"/>
      <w:numFmt w:val="japaneseCounting"/>
      <w:lvlText w:val="%1、"/>
      <w:lvlJc w:val="left"/>
      <w:pPr>
        <w:ind w:left="660" w:hanging="6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17F5C"/>
    <w:rsid w:val="000222C6"/>
    <w:rsid w:val="00024B1C"/>
    <w:rsid w:val="0002549F"/>
    <w:rsid w:val="00040797"/>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050F"/>
    <w:rsid w:val="00114E9B"/>
    <w:rsid w:val="0013098D"/>
    <w:rsid w:val="00131DF2"/>
    <w:rsid w:val="001322A2"/>
    <w:rsid w:val="00142216"/>
    <w:rsid w:val="00144D6A"/>
    <w:rsid w:val="0014729F"/>
    <w:rsid w:val="00157BAB"/>
    <w:rsid w:val="001654D1"/>
    <w:rsid w:val="00174518"/>
    <w:rsid w:val="00177D4C"/>
    <w:rsid w:val="0018106D"/>
    <w:rsid w:val="00183F8A"/>
    <w:rsid w:val="001877A7"/>
    <w:rsid w:val="00191536"/>
    <w:rsid w:val="00196687"/>
    <w:rsid w:val="001B4C6D"/>
    <w:rsid w:val="001C0962"/>
    <w:rsid w:val="001C48EC"/>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668A0"/>
    <w:rsid w:val="00280496"/>
    <w:rsid w:val="00294DC9"/>
    <w:rsid w:val="00295495"/>
    <w:rsid w:val="002A31DE"/>
    <w:rsid w:val="002B2613"/>
    <w:rsid w:val="002D2735"/>
    <w:rsid w:val="002D6D05"/>
    <w:rsid w:val="002E027F"/>
    <w:rsid w:val="002F1818"/>
    <w:rsid w:val="002F29A6"/>
    <w:rsid w:val="002F43B5"/>
    <w:rsid w:val="002F567B"/>
    <w:rsid w:val="003216A9"/>
    <w:rsid w:val="00322C98"/>
    <w:rsid w:val="00335A74"/>
    <w:rsid w:val="0036561B"/>
    <w:rsid w:val="0037013F"/>
    <w:rsid w:val="00380C92"/>
    <w:rsid w:val="00392B6B"/>
    <w:rsid w:val="00393248"/>
    <w:rsid w:val="00397039"/>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725E"/>
    <w:rsid w:val="00471401"/>
    <w:rsid w:val="00473F31"/>
    <w:rsid w:val="0048263A"/>
    <w:rsid w:val="00487E5D"/>
    <w:rsid w:val="00490DD6"/>
    <w:rsid w:val="004A711F"/>
    <w:rsid w:val="004B199D"/>
    <w:rsid w:val="004B4690"/>
    <w:rsid w:val="004C5034"/>
    <w:rsid w:val="004E0A2D"/>
    <w:rsid w:val="004E206B"/>
    <w:rsid w:val="004E6DF7"/>
    <w:rsid w:val="004F0FBD"/>
    <w:rsid w:val="00502186"/>
    <w:rsid w:val="00505A47"/>
    <w:rsid w:val="00512FDA"/>
    <w:rsid w:val="00520DA0"/>
    <w:rsid w:val="005664BB"/>
    <w:rsid w:val="00566FFA"/>
    <w:rsid w:val="0057481D"/>
    <w:rsid w:val="00576BE4"/>
    <w:rsid w:val="0058486E"/>
    <w:rsid w:val="00585B33"/>
    <w:rsid w:val="0059014D"/>
    <w:rsid w:val="005B5C64"/>
    <w:rsid w:val="005C177F"/>
    <w:rsid w:val="005C5337"/>
    <w:rsid w:val="005C6BD0"/>
    <w:rsid w:val="005D1C8B"/>
    <w:rsid w:val="005D468D"/>
    <w:rsid w:val="005D5CED"/>
    <w:rsid w:val="005F1A4C"/>
    <w:rsid w:val="005F1D59"/>
    <w:rsid w:val="00605688"/>
    <w:rsid w:val="006070AF"/>
    <w:rsid w:val="00607E6C"/>
    <w:rsid w:val="006101B1"/>
    <w:rsid w:val="00614E44"/>
    <w:rsid w:val="0062270A"/>
    <w:rsid w:val="00622830"/>
    <w:rsid w:val="00623DA0"/>
    <w:rsid w:val="00630AEF"/>
    <w:rsid w:val="006325F8"/>
    <w:rsid w:val="0063296F"/>
    <w:rsid w:val="00633463"/>
    <w:rsid w:val="00634C9A"/>
    <w:rsid w:val="00637231"/>
    <w:rsid w:val="00640119"/>
    <w:rsid w:val="006422D2"/>
    <w:rsid w:val="006440E4"/>
    <w:rsid w:val="0066343B"/>
    <w:rsid w:val="00664777"/>
    <w:rsid w:val="006748A4"/>
    <w:rsid w:val="00681A31"/>
    <w:rsid w:val="00683E73"/>
    <w:rsid w:val="006A3141"/>
    <w:rsid w:val="006A5E34"/>
    <w:rsid w:val="006B2422"/>
    <w:rsid w:val="006B2B9A"/>
    <w:rsid w:val="006C1937"/>
    <w:rsid w:val="006F020C"/>
    <w:rsid w:val="006F28CD"/>
    <w:rsid w:val="006F2FA2"/>
    <w:rsid w:val="007127B7"/>
    <w:rsid w:val="007127C6"/>
    <w:rsid w:val="0071798E"/>
    <w:rsid w:val="00741021"/>
    <w:rsid w:val="007416B6"/>
    <w:rsid w:val="00746F48"/>
    <w:rsid w:val="00751AA7"/>
    <w:rsid w:val="0075404D"/>
    <w:rsid w:val="007564B9"/>
    <w:rsid w:val="0076182A"/>
    <w:rsid w:val="00767B7E"/>
    <w:rsid w:val="007770C3"/>
    <w:rsid w:val="00784D24"/>
    <w:rsid w:val="00785FBA"/>
    <w:rsid w:val="00786E4A"/>
    <w:rsid w:val="007875EB"/>
    <w:rsid w:val="0079426B"/>
    <w:rsid w:val="007B1FC8"/>
    <w:rsid w:val="007D1682"/>
    <w:rsid w:val="007D312A"/>
    <w:rsid w:val="007D3F19"/>
    <w:rsid w:val="007E23B0"/>
    <w:rsid w:val="007E23E5"/>
    <w:rsid w:val="007E4536"/>
    <w:rsid w:val="007F1991"/>
    <w:rsid w:val="007F2C2F"/>
    <w:rsid w:val="007F55FC"/>
    <w:rsid w:val="007F5665"/>
    <w:rsid w:val="00800112"/>
    <w:rsid w:val="00813348"/>
    <w:rsid w:val="008253BB"/>
    <w:rsid w:val="008272AE"/>
    <w:rsid w:val="0083706E"/>
    <w:rsid w:val="008408F6"/>
    <w:rsid w:val="008423A5"/>
    <w:rsid w:val="00850625"/>
    <w:rsid w:val="00853718"/>
    <w:rsid w:val="00855221"/>
    <w:rsid w:val="00860645"/>
    <w:rsid w:val="00871F71"/>
    <w:rsid w:val="00872FD8"/>
    <w:rsid w:val="00885AF4"/>
    <w:rsid w:val="008939CD"/>
    <w:rsid w:val="00897684"/>
    <w:rsid w:val="008B768C"/>
    <w:rsid w:val="008C4DB1"/>
    <w:rsid w:val="008C4EAF"/>
    <w:rsid w:val="008C5176"/>
    <w:rsid w:val="008C7FD0"/>
    <w:rsid w:val="008D1719"/>
    <w:rsid w:val="008E1DE7"/>
    <w:rsid w:val="008E631A"/>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3D92"/>
    <w:rsid w:val="0097099F"/>
    <w:rsid w:val="00971997"/>
    <w:rsid w:val="00971FFC"/>
    <w:rsid w:val="0098660A"/>
    <w:rsid w:val="009931C3"/>
    <w:rsid w:val="009B2C43"/>
    <w:rsid w:val="009B4EAE"/>
    <w:rsid w:val="009B7573"/>
    <w:rsid w:val="009C22F4"/>
    <w:rsid w:val="009C2A4B"/>
    <w:rsid w:val="009C2E98"/>
    <w:rsid w:val="009D1406"/>
    <w:rsid w:val="009D3447"/>
    <w:rsid w:val="009D4711"/>
    <w:rsid w:val="009F1185"/>
    <w:rsid w:val="009F18CD"/>
    <w:rsid w:val="009F2A13"/>
    <w:rsid w:val="009F7527"/>
    <w:rsid w:val="00A0021D"/>
    <w:rsid w:val="00A04EB0"/>
    <w:rsid w:val="00A13CC1"/>
    <w:rsid w:val="00A140BB"/>
    <w:rsid w:val="00A16847"/>
    <w:rsid w:val="00A237D8"/>
    <w:rsid w:val="00A268C4"/>
    <w:rsid w:val="00A307CD"/>
    <w:rsid w:val="00A331C8"/>
    <w:rsid w:val="00A34B78"/>
    <w:rsid w:val="00A40A00"/>
    <w:rsid w:val="00A4142F"/>
    <w:rsid w:val="00A422EB"/>
    <w:rsid w:val="00A45BB7"/>
    <w:rsid w:val="00A56DF2"/>
    <w:rsid w:val="00A56E6E"/>
    <w:rsid w:val="00A64049"/>
    <w:rsid w:val="00A67AB5"/>
    <w:rsid w:val="00A733B2"/>
    <w:rsid w:val="00A741C2"/>
    <w:rsid w:val="00A811C4"/>
    <w:rsid w:val="00A90036"/>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249D"/>
    <w:rsid w:val="00B35F3F"/>
    <w:rsid w:val="00B36CBB"/>
    <w:rsid w:val="00B425E0"/>
    <w:rsid w:val="00B440AA"/>
    <w:rsid w:val="00B44B70"/>
    <w:rsid w:val="00B53C56"/>
    <w:rsid w:val="00B57DAF"/>
    <w:rsid w:val="00B77EA6"/>
    <w:rsid w:val="00B81598"/>
    <w:rsid w:val="00B841F1"/>
    <w:rsid w:val="00B944D6"/>
    <w:rsid w:val="00BA43A0"/>
    <w:rsid w:val="00BA496E"/>
    <w:rsid w:val="00BB4DF0"/>
    <w:rsid w:val="00BC289F"/>
    <w:rsid w:val="00BC2D50"/>
    <w:rsid w:val="00BC5361"/>
    <w:rsid w:val="00BC5460"/>
    <w:rsid w:val="00BC66E5"/>
    <w:rsid w:val="00BC6B50"/>
    <w:rsid w:val="00BD0E25"/>
    <w:rsid w:val="00BF5BD6"/>
    <w:rsid w:val="00C03E31"/>
    <w:rsid w:val="00C14454"/>
    <w:rsid w:val="00C33E72"/>
    <w:rsid w:val="00C354B2"/>
    <w:rsid w:val="00C35554"/>
    <w:rsid w:val="00C42709"/>
    <w:rsid w:val="00C50CA1"/>
    <w:rsid w:val="00C533CC"/>
    <w:rsid w:val="00C5751C"/>
    <w:rsid w:val="00C6037C"/>
    <w:rsid w:val="00C61BFC"/>
    <w:rsid w:val="00C62B85"/>
    <w:rsid w:val="00C65438"/>
    <w:rsid w:val="00C7704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66A8"/>
    <w:rsid w:val="00D7035F"/>
    <w:rsid w:val="00D74338"/>
    <w:rsid w:val="00DA634F"/>
    <w:rsid w:val="00DA65AC"/>
    <w:rsid w:val="00DB1913"/>
    <w:rsid w:val="00DC410D"/>
    <w:rsid w:val="00DC5A81"/>
    <w:rsid w:val="00DC68CA"/>
    <w:rsid w:val="00DC7CBA"/>
    <w:rsid w:val="00DD73B7"/>
    <w:rsid w:val="00DF2448"/>
    <w:rsid w:val="00DF28BC"/>
    <w:rsid w:val="00DF34B9"/>
    <w:rsid w:val="00E01053"/>
    <w:rsid w:val="00E07ACF"/>
    <w:rsid w:val="00E17DFE"/>
    <w:rsid w:val="00E331A1"/>
    <w:rsid w:val="00E33202"/>
    <w:rsid w:val="00E336A9"/>
    <w:rsid w:val="00E472B1"/>
    <w:rsid w:val="00E50624"/>
    <w:rsid w:val="00E54633"/>
    <w:rsid w:val="00E568DF"/>
    <w:rsid w:val="00E64269"/>
    <w:rsid w:val="00E82267"/>
    <w:rsid w:val="00E853CE"/>
    <w:rsid w:val="00E867B6"/>
    <w:rsid w:val="00E944D0"/>
    <w:rsid w:val="00E978D9"/>
    <w:rsid w:val="00EA010F"/>
    <w:rsid w:val="00EB1E7E"/>
    <w:rsid w:val="00ED1B63"/>
    <w:rsid w:val="00ED3C1F"/>
    <w:rsid w:val="00ED4085"/>
    <w:rsid w:val="00ED420E"/>
    <w:rsid w:val="00ED6FBE"/>
    <w:rsid w:val="00EE2F57"/>
    <w:rsid w:val="00EE6847"/>
    <w:rsid w:val="00EF4C34"/>
    <w:rsid w:val="00EF77C6"/>
    <w:rsid w:val="00F05438"/>
    <w:rsid w:val="00F12838"/>
    <w:rsid w:val="00F1361C"/>
    <w:rsid w:val="00F156F0"/>
    <w:rsid w:val="00F160C7"/>
    <w:rsid w:val="00F2408F"/>
    <w:rsid w:val="00F240E9"/>
    <w:rsid w:val="00F36D8F"/>
    <w:rsid w:val="00F417B1"/>
    <w:rsid w:val="00F45853"/>
    <w:rsid w:val="00F602DF"/>
    <w:rsid w:val="00F754A1"/>
    <w:rsid w:val="00F81ACA"/>
    <w:rsid w:val="00F81FD9"/>
    <w:rsid w:val="00F841AA"/>
    <w:rsid w:val="00F84A94"/>
    <w:rsid w:val="00F86DCC"/>
    <w:rsid w:val="00F87E96"/>
    <w:rsid w:val="00FA23E8"/>
    <w:rsid w:val="00FA6283"/>
    <w:rsid w:val="00FD09F7"/>
    <w:rsid w:val="00FD3CC1"/>
    <w:rsid w:val="00FF1E02"/>
    <w:rsid w:val="00FF30B4"/>
    <w:rsid w:val="012A5EC2"/>
    <w:rsid w:val="015975B8"/>
    <w:rsid w:val="02FEBE30"/>
    <w:rsid w:val="04916F1E"/>
    <w:rsid w:val="061E35DE"/>
    <w:rsid w:val="066E0107"/>
    <w:rsid w:val="07996F6E"/>
    <w:rsid w:val="07DFD8BA"/>
    <w:rsid w:val="09867E8F"/>
    <w:rsid w:val="0A2032A3"/>
    <w:rsid w:val="0CA8290A"/>
    <w:rsid w:val="0CE75596"/>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2C3389D"/>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4D008CE"/>
    <w:rsid w:val="55170BA8"/>
    <w:rsid w:val="553218C9"/>
    <w:rsid w:val="5615304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CB264D1"/>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4D0E0E"/>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D9C3E74"/>
    <w:rsid w:val="7E8ADEBF"/>
    <w:rsid w:val="7EEF11D3"/>
    <w:rsid w:val="7EFE4840"/>
    <w:rsid w:val="7F0971A6"/>
    <w:rsid w:val="7F1D62E7"/>
    <w:rsid w:val="7F3F679B"/>
    <w:rsid w:val="7F4FC4EF"/>
    <w:rsid w:val="7F5E4D54"/>
    <w:rsid w:val="7F6E0135"/>
    <w:rsid w:val="7F79F205"/>
    <w:rsid w:val="7FA30C79"/>
    <w:rsid w:val="7FA79C44"/>
    <w:rsid w:val="7FA924F3"/>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7">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link w:val="22"/>
    <w:semiHidden/>
    <w:qFormat/>
    <w:uiPriority w:val="99"/>
    <w:pPr>
      <w:snapToGrid w:val="0"/>
      <w:jc w:val="left"/>
    </w:pPr>
    <w:rPr>
      <w:sz w:val="18"/>
      <w:szCs w:val="18"/>
    </w:rPr>
  </w:style>
  <w:style w:type="paragraph" w:styleId="3">
    <w:name w:val="Body Text First Indent 2"/>
    <w:basedOn w:val="4"/>
    <w:link w:val="24"/>
    <w:qFormat/>
    <w:uiPriority w:val="99"/>
    <w:pPr>
      <w:ind w:firstLine="420" w:firstLineChars="200"/>
    </w:pPr>
  </w:style>
  <w:style w:type="paragraph" w:styleId="4">
    <w:name w:val="Body Text Indent"/>
    <w:basedOn w:val="1"/>
    <w:next w:val="3"/>
    <w:link w:val="23"/>
    <w:qFormat/>
    <w:uiPriority w:val="99"/>
    <w:pPr>
      <w:spacing w:after="120"/>
      <w:ind w:left="200" w:leftChars="200"/>
    </w:pPr>
    <w:rPr>
      <w:rFonts w:ascii="仿宋_GB2312"/>
      <w:szCs w:val="32"/>
    </w:rPr>
  </w:style>
  <w:style w:type="paragraph" w:styleId="8">
    <w:name w:val="Body Text"/>
    <w:basedOn w:val="1"/>
    <w:link w:val="32"/>
    <w:qFormat/>
    <w:uiPriority w:val="99"/>
    <w:pPr>
      <w:spacing w:beforeLines="30"/>
    </w:pPr>
    <w:rPr>
      <w:rFonts w:ascii="仿宋_GB2312" w:eastAsia="仿宋_GB2312"/>
      <w:kern w:val="0"/>
      <w:sz w:val="24"/>
      <w:szCs w:val="20"/>
    </w:rPr>
  </w:style>
  <w:style w:type="paragraph" w:styleId="9">
    <w:name w:val="toc 3"/>
    <w:basedOn w:val="1"/>
    <w:next w:val="1"/>
    <w:qFormat/>
    <w:uiPriority w:val="99"/>
    <w:pPr>
      <w:tabs>
        <w:tab w:val="right" w:leader="dot" w:pos="8296"/>
      </w:tabs>
      <w:ind w:left="840" w:leftChars="400"/>
    </w:pPr>
  </w:style>
  <w:style w:type="paragraph" w:styleId="10">
    <w:name w:val="Balloon Text"/>
    <w:basedOn w:val="1"/>
    <w:link w:val="26"/>
    <w:semiHidden/>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3">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4">
    <w:name w:val="toc 2"/>
    <w:basedOn w:val="1"/>
    <w:next w:val="1"/>
    <w:qFormat/>
    <w:uiPriority w:val="99"/>
    <w:pPr>
      <w:tabs>
        <w:tab w:val="right" w:leader="dot" w:pos="8296"/>
      </w:tabs>
      <w:ind w:left="420" w:leftChars="200"/>
    </w:pPr>
  </w:style>
  <w:style w:type="character" w:styleId="17">
    <w:name w:val="Strong"/>
    <w:basedOn w:val="16"/>
    <w:qFormat/>
    <w:uiPriority w:val="99"/>
    <w:rPr>
      <w:rFonts w:cs="Times New Roman"/>
      <w:b/>
    </w:rPr>
  </w:style>
  <w:style w:type="character" w:styleId="18">
    <w:name w:val="Hyperlink"/>
    <w:basedOn w:val="16"/>
    <w:qFormat/>
    <w:uiPriority w:val="99"/>
    <w:rPr>
      <w:rFonts w:cs="Times New Roman"/>
      <w:color w:val="0000FF"/>
      <w:u w:val="single"/>
    </w:rPr>
  </w:style>
  <w:style w:type="character" w:customStyle="1" w:styleId="19">
    <w:name w:val="Heading 1 Char"/>
    <w:basedOn w:val="16"/>
    <w:link w:val="5"/>
    <w:qFormat/>
    <w:locked/>
    <w:uiPriority w:val="99"/>
    <w:rPr>
      <w:rFonts w:ascii="Times New Roman" w:hAnsi="Times New Roman" w:cs="Times New Roman"/>
      <w:b/>
      <w:bCs/>
      <w:kern w:val="44"/>
      <w:sz w:val="44"/>
      <w:szCs w:val="44"/>
    </w:rPr>
  </w:style>
  <w:style w:type="character" w:customStyle="1" w:styleId="20">
    <w:name w:val="Heading 2 Char"/>
    <w:basedOn w:val="16"/>
    <w:link w:val="6"/>
    <w:qFormat/>
    <w:locked/>
    <w:uiPriority w:val="99"/>
    <w:rPr>
      <w:rFonts w:ascii="Cambria" w:hAnsi="Cambria" w:eastAsia="宋体" w:cs="Times New Roman"/>
      <w:b/>
      <w:bCs/>
      <w:kern w:val="2"/>
      <w:sz w:val="32"/>
      <w:szCs w:val="32"/>
    </w:rPr>
  </w:style>
  <w:style w:type="character" w:customStyle="1" w:styleId="21">
    <w:name w:val="Heading 3 Char"/>
    <w:basedOn w:val="16"/>
    <w:link w:val="7"/>
    <w:qFormat/>
    <w:locked/>
    <w:uiPriority w:val="99"/>
    <w:rPr>
      <w:rFonts w:ascii="Times New Roman" w:hAnsi="Times New Roman" w:cs="Times New Roman"/>
      <w:b/>
      <w:bCs/>
      <w:kern w:val="2"/>
      <w:sz w:val="32"/>
      <w:szCs w:val="32"/>
    </w:rPr>
  </w:style>
  <w:style w:type="character" w:customStyle="1" w:styleId="22">
    <w:name w:val="Footnote Text Char"/>
    <w:basedOn w:val="16"/>
    <w:link w:val="2"/>
    <w:semiHidden/>
    <w:qFormat/>
    <w:uiPriority w:val="99"/>
    <w:rPr>
      <w:rFonts w:ascii="Times New Roman" w:hAnsi="Times New Roman"/>
      <w:sz w:val="18"/>
      <w:szCs w:val="18"/>
    </w:rPr>
  </w:style>
  <w:style w:type="character" w:customStyle="1" w:styleId="23">
    <w:name w:val="Body Text Indent Char"/>
    <w:basedOn w:val="16"/>
    <w:link w:val="4"/>
    <w:semiHidden/>
    <w:qFormat/>
    <w:uiPriority w:val="99"/>
    <w:rPr>
      <w:rFonts w:ascii="Times New Roman" w:hAnsi="Times New Roman"/>
      <w:szCs w:val="24"/>
    </w:rPr>
  </w:style>
  <w:style w:type="character" w:customStyle="1" w:styleId="24">
    <w:name w:val="Body Text First Indent 2 Char"/>
    <w:basedOn w:val="23"/>
    <w:link w:val="3"/>
    <w:semiHidden/>
    <w:qFormat/>
    <w:uiPriority w:val="99"/>
  </w:style>
  <w:style w:type="character" w:customStyle="1" w:styleId="25">
    <w:name w:val="Body Text Char"/>
    <w:basedOn w:val="16"/>
    <w:link w:val="8"/>
    <w:semiHidden/>
    <w:qFormat/>
    <w:uiPriority w:val="99"/>
    <w:rPr>
      <w:rFonts w:ascii="Times New Roman" w:hAnsi="Times New Roman" w:cs="Times New Roman"/>
      <w:sz w:val="24"/>
      <w:szCs w:val="24"/>
    </w:rPr>
  </w:style>
  <w:style w:type="character" w:customStyle="1" w:styleId="26">
    <w:name w:val="Balloon Text Char"/>
    <w:basedOn w:val="16"/>
    <w:link w:val="10"/>
    <w:semiHidden/>
    <w:qFormat/>
    <w:locked/>
    <w:uiPriority w:val="99"/>
    <w:rPr>
      <w:rFonts w:ascii="Times New Roman" w:hAnsi="Times New Roman" w:cs="Times New Roman"/>
      <w:kern w:val="2"/>
      <w:sz w:val="18"/>
      <w:szCs w:val="18"/>
    </w:rPr>
  </w:style>
  <w:style w:type="character" w:customStyle="1" w:styleId="27">
    <w:name w:val="Footer Char"/>
    <w:basedOn w:val="16"/>
    <w:link w:val="11"/>
    <w:semiHidden/>
    <w:qFormat/>
    <w:uiPriority w:val="99"/>
    <w:rPr>
      <w:rFonts w:ascii="Times New Roman" w:hAnsi="Times New Roman" w:cs="Times New Roman"/>
      <w:sz w:val="18"/>
      <w:szCs w:val="18"/>
    </w:rPr>
  </w:style>
  <w:style w:type="character" w:customStyle="1" w:styleId="28">
    <w:name w:val="Header Char"/>
    <w:basedOn w:val="16"/>
    <w:link w:val="12"/>
    <w:semiHidden/>
    <w:qFormat/>
    <w:uiPriority w:val="99"/>
    <w:rPr>
      <w:rFonts w:ascii="Times New Roman" w:hAnsi="Times New Roman" w:cs="Times New Roman"/>
      <w:sz w:val="18"/>
      <w:szCs w:val="18"/>
    </w:rPr>
  </w:style>
  <w:style w:type="paragraph" w:customStyle="1" w:styleId="2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30">
    <w:name w:val="Header Char1"/>
    <w:link w:val="12"/>
    <w:semiHidden/>
    <w:qFormat/>
    <w:locked/>
    <w:uiPriority w:val="99"/>
    <w:rPr>
      <w:sz w:val="18"/>
    </w:rPr>
  </w:style>
  <w:style w:type="character" w:customStyle="1" w:styleId="31">
    <w:name w:val="Footer Char1"/>
    <w:link w:val="11"/>
    <w:qFormat/>
    <w:locked/>
    <w:uiPriority w:val="99"/>
    <w:rPr>
      <w:sz w:val="18"/>
    </w:rPr>
  </w:style>
  <w:style w:type="character" w:customStyle="1" w:styleId="32">
    <w:name w:val="Body Text Char1"/>
    <w:link w:val="8"/>
    <w:qFormat/>
    <w:locked/>
    <w:uiPriority w:val="99"/>
    <w:rPr>
      <w:rFonts w:ascii="仿宋_GB2312" w:hAnsi="Times New Roman" w:eastAsia="仿宋_GB2312"/>
      <w:sz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4">
    <w:name w:val="List Paragraph"/>
    <w:basedOn w:val="1"/>
    <w:qFormat/>
    <w:uiPriority w:val="99"/>
    <w:pPr>
      <w:ind w:firstLine="420" w:firstLineChars="200"/>
    </w:pPr>
  </w:style>
  <w:style w:type="paragraph" w:customStyle="1" w:styleId="35">
    <w:name w:val="TOC 标题1"/>
    <w:basedOn w:val="5"/>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6">
    <w:name w:val="TOC 标题2"/>
    <w:basedOn w:val="5"/>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7">
    <w:name w:val="四号正文"/>
    <w:basedOn w:val="1"/>
    <w:qFormat/>
    <w:uiPriority w:val="99"/>
    <w:pPr>
      <w:spacing w:line="360" w:lineRule="auto"/>
    </w:pPr>
    <w:rPr>
      <w:rFonts w:ascii="??" w:hAnsi="??"/>
      <w:color w:val="000000"/>
      <w:kern w:val="0"/>
      <w:sz w:val="28"/>
      <w:szCs w:val="21"/>
      <w:lang w:val="zh-CN"/>
    </w:rPr>
  </w:style>
  <w:style w:type="character" w:customStyle="1" w:styleId="38">
    <w:name w:val="标题 1 字符"/>
    <w:qFormat/>
    <w:uiPriority w:val="99"/>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18</Pages>
  <Words>5182</Words>
  <Characters>5702</Characters>
  <Lines>0</Lines>
  <Paragraphs>0</Paragraphs>
  <TotalTime>3</TotalTime>
  <ScaleCrop>false</ScaleCrop>
  <LinksUpToDate>false</LinksUpToDate>
  <CharactersWithSpaces>5755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何兴民</cp:lastModifiedBy>
  <cp:lastPrinted>2025-08-06T17:34:00Z</cp:lastPrinted>
  <dcterms:modified xsi:type="dcterms:W3CDTF">2025-09-16T02:05:04Z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FB7DC9FA176347EFB6DEA85C64150EC2_13</vt:lpwstr>
  </property>
  <property fmtid="{D5CDD505-2E9C-101B-9397-08002B2CF9AE}" pid="4" name="KSOTemplateDocerSaveRecord">
    <vt:lpwstr>eyJoZGlkIjoiNzI0Y2Y4ZmU4ZGQyOTQxNzkxMjZjNjQwNjQ5MTdlMTAiLCJ1c2VySWQiOiIzODI0MTc1NzMifQ==</vt:lpwstr>
  </property>
</Properties>
</file>