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9ED" w:rsidRDefault="000579ED">
      <w:pPr>
        <w:pStyle w:val="a0"/>
        <w:spacing w:before="93"/>
        <w:jc w:val="center"/>
        <w:rPr>
          <w:rFonts w:ascii="方正小标宋简体" w:eastAsia="方正小标宋简体" w:hAnsi="宋体"/>
          <w:sz w:val="44"/>
          <w:szCs w:val="44"/>
        </w:rPr>
      </w:pPr>
      <w:bookmarkStart w:id="0" w:name="_Toc15396599"/>
      <w:bookmarkStart w:id="1" w:name="_Toc15377196"/>
    </w:p>
    <w:p w:rsidR="000579ED" w:rsidRDefault="00DD0D1D">
      <w:pPr>
        <w:pStyle w:val="a0"/>
        <w:spacing w:before="93"/>
        <w:jc w:val="center"/>
        <w:rPr>
          <w:rFonts w:ascii="方正小标宋简体" w:eastAsia="方正小标宋简体" w:hAnsi="宋体"/>
          <w:sz w:val="44"/>
          <w:szCs w:val="44"/>
        </w:rPr>
      </w:pPr>
      <w:r>
        <w:rPr>
          <w:rFonts w:ascii="方正小标宋简体" w:eastAsia="方正小标宋简体" w:hAnsi="宋体" w:hint="eastAsia"/>
          <w:sz w:val="44"/>
          <w:szCs w:val="44"/>
        </w:rPr>
        <w:t>2023年度</w:t>
      </w:r>
    </w:p>
    <w:p w:rsidR="000579ED" w:rsidRDefault="00DD0D1D">
      <w:pPr>
        <w:pStyle w:val="a0"/>
        <w:spacing w:before="93"/>
        <w:jc w:val="center"/>
        <w:rPr>
          <w:rFonts w:ascii="方正小标宋简体" w:eastAsia="方正小标宋简体" w:hAnsi="宋体"/>
          <w:sz w:val="44"/>
          <w:szCs w:val="44"/>
        </w:rPr>
      </w:pPr>
      <w:r>
        <w:rPr>
          <w:rFonts w:ascii="方正小标宋简体" w:eastAsia="方正小标宋简体" w:hAnsi="宋体" w:hint="eastAsia"/>
          <w:sz w:val="44"/>
          <w:szCs w:val="44"/>
        </w:rPr>
        <w:t>攀枝花市二滩国家森林公园保护中心（攀枝花市二滩风景名胜区保护中心）单位决算</w:t>
      </w:r>
    </w:p>
    <w:p w:rsidR="000579ED" w:rsidRDefault="00DD0D1D">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0579ED" w:rsidRDefault="000579ED">
      <w:pPr>
        <w:widowControl/>
        <w:jc w:val="center"/>
        <w:rPr>
          <w:rFonts w:ascii="黑体" w:eastAsia="黑体" w:hAnsi="黑体"/>
          <w:sz w:val="28"/>
          <w:szCs w:val="28"/>
        </w:rPr>
      </w:pPr>
    </w:p>
    <w:p w:rsidR="000579ED" w:rsidRDefault="00DD0D1D">
      <w:pPr>
        <w:pStyle w:val="10"/>
      </w:pPr>
      <w:r>
        <w:rPr>
          <w:rFonts w:hint="eastAsia"/>
        </w:rPr>
        <w:t>公开时间：2024年9月</w:t>
      </w:r>
      <w:r w:rsidR="00FA3815">
        <w:rPr>
          <w:rFonts w:hint="eastAsia"/>
        </w:rPr>
        <w:t>20</w:t>
      </w:r>
      <w:r>
        <w:rPr>
          <w:rFonts w:hint="eastAsia"/>
        </w:rPr>
        <w:t>日</w:t>
      </w:r>
    </w:p>
    <w:p w:rsidR="000579ED" w:rsidRDefault="000579ED"/>
    <w:p w:rsidR="000579ED" w:rsidRDefault="00DD0D1D">
      <w:pPr>
        <w:pStyle w:val="10"/>
        <w:adjustRightInd w:val="0"/>
        <w:snapToGrid w:val="0"/>
        <w:spacing w:before="0" w:line="440" w:lineRule="exact"/>
        <w:jc w:val="left"/>
        <w:rPr>
          <w:rFonts w:ascii="Times New Roman" w:hAnsi="Times New Roman"/>
          <w:sz w:val="24"/>
          <w:szCs w:val="24"/>
        </w:rPr>
      </w:pPr>
      <w:r>
        <w:rPr>
          <w:rFonts w:ascii="Times New Roman" w:hAnsi="Times New Roman"/>
          <w:sz w:val="24"/>
        </w:rPr>
        <w:t>第一部分单位概况</w:t>
      </w:r>
      <w:r>
        <w:rPr>
          <w:rFonts w:ascii="Times New Roman" w:hAnsi="Times New Roman"/>
          <w:sz w:val="24"/>
          <w:szCs w:val="24"/>
        </w:rPr>
        <w:tab/>
        <w:t>4</w:t>
      </w:r>
    </w:p>
    <w:p w:rsidR="000579ED" w:rsidRDefault="00DD0D1D">
      <w:pPr>
        <w:pStyle w:val="20"/>
        <w:adjustRightInd w:val="0"/>
        <w:snapToGrid w:val="0"/>
        <w:spacing w:line="440" w:lineRule="exact"/>
        <w:jc w:val="left"/>
        <w:rPr>
          <w:sz w:val="24"/>
        </w:rPr>
      </w:pPr>
      <w:r>
        <w:rPr>
          <w:sz w:val="24"/>
        </w:rPr>
        <w:t>一、主要职责</w:t>
      </w:r>
      <w:r>
        <w:rPr>
          <w:sz w:val="24"/>
        </w:rPr>
        <w:tab/>
        <w:t>4</w:t>
      </w:r>
    </w:p>
    <w:p w:rsidR="000579ED" w:rsidRDefault="00DD0D1D">
      <w:pPr>
        <w:pStyle w:val="20"/>
        <w:adjustRightInd w:val="0"/>
        <w:snapToGrid w:val="0"/>
        <w:spacing w:line="440" w:lineRule="exact"/>
        <w:jc w:val="left"/>
      </w:pPr>
      <w:r>
        <w:rPr>
          <w:sz w:val="24"/>
        </w:rPr>
        <w:t>二、机构设置</w:t>
      </w:r>
      <w:r>
        <w:rPr>
          <w:sz w:val="24"/>
        </w:rPr>
        <w:tab/>
      </w:r>
      <w:r>
        <w:rPr>
          <w:rFonts w:hint="eastAsia"/>
          <w:sz w:val="24"/>
        </w:rPr>
        <w:t>5</w:t>
      </w:r>
    </w:p>
    <w:p w:rsidR="000579ED" w:rsidRDefault="00DD0D1D">
      <w:pPr>
        <w:pStyle w:val="10"/>
        <w:adjustRightInd w:val="0"/>
        <w:snapToGrid w:val="0"/>
        <w:spacing w:before="0" w:line="440" w:lineRule="exact"/>
        <w:jc w:val="left"/>
        <w:rPr>
          <w:rFonts w:ascii="Times New Roman" w:hAnsi="Times New Roman"/>
          <w:sz w:val="24"/>
          <w:szCs w:val="24"/>
        </w:rPr>
      </w:pPr>
      <w:r>
        <w:rPr>
          <w:rFonts w:ascii="Times New Roman" w:hAnsi="Times New Roman"/>
          <w:sz w:val="24"/>
        </w:rPr>
        <w:t>第二部分</w:t>
      </w:r>
      <w:r>
        <w:rPr>
          <w:rFonts w:ascii="Times New Roman" w:hAnsi="Times New Roman"/>
          <w:sz w:val="24"/>
        </w:rPr>
        <w:t xml:space="preserve"> 202</w:t>
      </w:r>
      <w:r>
        <w:rPr>
          <w:rFonts w:ascii="Times New Roman" w:hAnsi="Times New Roman" w:hint="eastAsia"/>
          <w:sz w:val="24"/>
        </w:rPr>
        <w:t>3</w:t>
      </w:r>
      <w:r>
        <w:rPr>
          <w:rFonts w:ascii="Times New Roman" w:hAnsi="Times New Roman"/>
          <w:sz w:val="24"/>
        </w:rPr>
        <w:t>年度单位决算情况说明</w:t>
      </w:r>
      <w:r>
        <w:rPr>
          <w:rFonts w:ascii="Times New Roman" w:hAnsi="Times New Roman"/>
          <w:sz w:val="24"/>
          <w:szCs w:val="24"/>
        </w:rPr>
        <w:tab/>
        <w:t>6</w:t>
      </w:r>
    </w:p>
    <w:p w:rsidR="000579ED" w:rsidRDefault="00DD0D1D">
      <w:pPr>
        <w:pStyle w:val="20"/>
        <w:adjustRightInd w:val="0"/>
        <w:snapToGrid w:val="0"/>
        <w:spacing w:line="440" w:lineRule="exact"/>
        <w:jc w:val="left"/>
        <w:rPr>
          <w:rFonts w:eastAsia="仿宋"/>
          <w:sz w:val="24"/>
        </w:rPr>
      </w:pPr>
      <w:r>
        <w:rPr>
          <w:sz w:val="24"/>
        </w:rPr>
        <w:t>一、收入支出决算总体情况说明</w:t>
      </w:r>
      <w:r>
        <w:rPr>
          <w:sz w:val="24"/>
        </w:rPr>
        <w:tab/>
        <w:t>6</w:t>
      </w:r>
    </w:p>
    <w:p w:rsidR="000579ED" w:rsidRDefault="00DD0D1D">
      <w:pPr>
        <w:pStyle w:val="20"/>
        <w:adjustRightInd w:val="0"/>
        <w:snapToGrid w:val="0"/>
        <w:spacing w:line="440" w:lineRule="exact"/>
        <w:jc w:val="left"/>
        <w:rPr>
          <w:rFonts w:eastAsia="仿宋"/>
          <w:sz w:val="24"/>
        </w:rPr>
      </w:pPr>
      <w:r>
        <w:rPr>
          <w:sz w:val="24"/>
        </w:rPr>
        <w:t>二、收入决算情况说明</w:t>
      </w:r>
      <w:r>
        <w:rPr>
          <w:sz w:val="24"/>
        </w:rPr>
        <w:tab/>
        <w:t>6</w:t>
      </w:r>
    </w:p>
    <w:p w:rsidR="000579ED" w:rsidRDefault="00DD0D1D">
      <w:pPr>
        <w:pStyle w:val="20"/>
        <w:adjustRightInd w:val="0"/>
        <w:snapToGrid w:val="0"/>
        <w:spacing w:line="440" w:lineRule="exact"/>
        <w:jc w:val="left"/>
        <w:rPr>
          <w:rFonts w:eastAsia="仿宋"/>
          <w:sz w:val="24"/>
        </w:rPr>
      </w:pPr>
      <w:r>
        <w:rPr>
          <w:sz w:val="24"/>
        </w:rPr>
        <w:t>三、支出决算情况说明</w:t>
      </w:r>
      <w:r>
        <w:rPr>
          <w:sz w:val="24"/>
        </w:rPr>
        <w:tab/>
        <w:t>7</w:t>
      </w:r>
    </w:p>
    <w:p w:rsidR="000579ED" w:rsidRDefault="00DD0D1D">
      <w:pPr>
        <w:pStyle w:val="20"/>
        <w:adjustRightInd w:val="0"/>
        <w:snapToGrid w:val="0"/>
        <w:spacing w:line="440" w:lineRule="exact"/>
        <w:jc w:val="left"/>
        <w:rPr>
          <w:rFonts w:eastAsia="仿宋"/>
          <w:sz w:val="24"/>
        </w:rPr>
      </w:pPr>
      <w:r>
        <w:rPr>
          <w:sz w:val="24"/>
        </w:rPr>
        <w:t>四、财政拨款收入支出决算总体情况说明</w:t>
      </w:r>
      <w:r>
        <w:rPr>
          <w:sz w:val="24"/>
        </w:rPr>
        <w:tab/>
        <w:t>8</w:t>
      </w:r>
    </w:p>
    <w:p w:rsidR="000579ED" w:rsidRDefault="00DD0D1D">
      <w:pPr>
        <w:pStyle w:val="20"/>
        <w:adjustRightInd w:val="0"/>
        <w:snapToGrid w:val="0"/>
        <w:spacing w:line="440" w:lineRule="exact"/>
        <w:jc w:val="left"/>
        <w:rPr>
          <w:rFonts w:eastAsia="仿宋"/>
          <w:sz w:val="24"/>
        </w:rPr>
      </w:pPr>
      <w:r>
        <w:rPr>
          <w:sz w:val="24"/>
        </w:rPr>
        <w:t>五、一般公共预算财政拨款支出决算情况说明</w:t>
      </w:r>
      <w:r>
        <w:rPr>
          <w:sz w:val="24"/>
        </w:rPr>
        <w:tab/>
        <w:t>8</w:t>
      </w:r>
    </w:p>
    <w:p w:rsidR="000579ED" w:rsidRDefault="00DD0D1D">
      <w:pPr>
        <w:pStyle w:val="20"/>
        <w:adjustRightInd w:val="0"/>
        <w:snapToGrid w:val="0"/>
        <w:spacing w:line="440" w:lineRule="exact"/>
        <w:jc w:val="left"/>
        <w:rPr>
          <w:rFonts w:eastAsia="仿宋"/>
          <w:sz w:val="24"/>
        </w:rPr>
      </w:pPr>
      <w:r>
        <w:rPr>
          <w:sz w:val="24"/>
        </w:rPr>
        <w:t>六、一般公共预算财政拨款基本支出决算情况说明</w:t>
      </w:r>
      <w:r>
        <w:rPr>
          <w:sz w:val="24"/>
        </w:rPr>
        <w:tab/>
        <w:t>1</w:t>
      </w:r>
      <w:r>
        <w:rPr>
          <w:rFonts w:hint="eastAsia"/>
          <w:sz w:val="24"/>
        </w:rPr>
        <w:t>0</w:t>
      </w:r>
    </w:p>
    <w:p w:rsidR="000579ED" w:rsidRDefault="00DD0D1D">
      <w:pPr>
        <w:pStyle w:val="20"/>
        <w:adjustRightInd w:val="0"/>
        <w:snapToGrid w:val="0"/>
        <w:spacing w:line="440" w:lineRule="exact"/>
        <w:jc w:val="left"/>
        <w:rPr>
          <w:rFonts w:eastAsia="仿宋"/>
          <w:sz w:val="24"/>
        </w:rPr>
      </w:pPr>
      <w:r>
        <w:rPr>
          <w:sz w:val="24"/>
        </w:rPr>
        <w:t>七、财政拨款</w:t>
      </w:r>
      <w:r>
        <w:rPr>
          <w:sz w:val="24"/>
        </w:rPr>
        <w:t>“</w:t>
      </w:r>
      <w:r>
        <w:rPr>
          <w:sz w:val="24"/>
        </w:rPr>
        <w:t>三公</w:t>
      </w:r>
      <w:r>
        <w:rPr>
          <w:sz w:val="24"/>
        </w:rPr>
        <w:t>”</w:t>
      </w:r>
      <w:r>
        <w:rPr>
          <w:sz w:val="24"/>
        </w:rPr>
        <w:t>经费支出决算情况说明</w:t>
      </w:r>
      <w:r>
        <w:rPr>
          <w:sz w:val="24"/>
        </w:rPr>
        <w:tab/>
        <w:t>11</w:t>
      </w:r>
    </w:p>
    <w:p w:rsidR="000579ED" w:rsidRDefault="00DD0D1D">
      <w:pPr>
        <w:pStyle w:val="20"/>
        <w:adjustRightInd w:val="0"/>
        <w:snapToGrid w:val="0"/>
        <w:spacing w:line="440" w:lineRule="exact"/>
        <w:jc w:val="left"/>
        <w:rPr>
          <w:rFonts w:eastAsia="仿宋"/>
          <w:sz w:val="24"/>
        </w:rPr>
      </w:pPr>
      <w:r>
        <w:rPr>
          <w:sz w:val="24"/>
        </w:rPr>
        <w:t>八、政府性基金预算支出决算情况说明</w:t>
      </w:r>
      <w:r>
        <w:rPr>
          <w:sz w:val="24"/>
        </w:rPr>
        <w:tab/>
        <w:t>13</w:t>
      </w:r>
    </w:p>
    <w:p w:rsidR="000579ED" w:rsidRDefault="00DD0D1D">
      <w:pPr>
        <w:pStyle w:val="20"/>
        <w:adjustRightInd w:val="0"/>
        <w:snapToGrid w:val="0"/>
        <w:spacing w:line="440" w:lineRule="exact"/>
        <w:jc w:val="left"/>
        <w:rPr>
          <w:sz w:val="24"/>
        </w:rPr>
      </w:pPr>
      <w:r>
        <w:rPr>
          <w:sz w:val="24"/>
        </w:rPr>
        <w:t>九、国有资本经营预算支出决算情况说明</w:t>
      </w:r>
      <w:r>
        <w:rPr>
          <w:sz w:val="24"/>
        </w:rPr>
        <w:tab/>
        <w:t>13</w:t>
      </w:r>
    </w:p>
    <w:p w:rsidR="000579ED" w:rsidRDefault="00DD0D1D">
      <w:pPr>
        <w:pStyle w:val="20"/>
        <w:adjustRightInd w:val="0"/>
        <w:snapToGrid w:val="0"/>
        <w:spacing w:line="440" w:lineRule="exact"/>
        <w:jc w:val="left"/>
        <w:rPr>
          <w:sz w:val="24"/>
        </w:rPr>
      </w:pPr>
      <w:r>
        <w:rPr>
          <w:sz w:val="24"/>
        </w:rPr>
        <w:t>十、其他重要事项的情况说明</w:t>
      </w:r>
      <w:r>
        <w:rPr>
          <w:sz w:val="24"/>
        </w:rPr>
        <w:tab/>
        <w:t>13</w:t>
      </w:r>
    </w:p>
    <w:p w:rsidR="000579ED" w:rsidRDefault="00DD0D1D">
      <w:pPr>
        <w:pStyle w:val="10"/>
        <w:adjustRightInd w:val="0"/>
        <w:snapToGrid w:val="0"/>
        <w:spacing w:before="0" w:line="440" w:lineRule="exact"/>
        <w:jc w:val="left"/>
        <w:rPr>
          <w:rFonts w:ascii="Times New Roman" w:hAnsi="Times New Roman"/>
          <w:sz w:val="24"/>
          <w:szCs w:val="24"/>
        </w:rPr>
      </w:pPr>
      <w:r>
        <w:rPr>
          <w:rFonts w:ascii="Times New Roman" w:hAnsi="Times New Roman"/>
          <w:sz w:val="24"/>
        </w:rPr>
        <w:t>第三部分名词解释</w:t>
      </w:r>
      <w:r>
        <w:rPr>
          <w:rFonts w:ascii="Times New Roman" w:hAnsi="Times New Roman"/>
          <w:sz w:val="24"/>
          <w:szCs w:val="24"/>
        </w:rPr>
        <w:tab/>
        <w:t>15</w:t>
      </w:r>
    </w:p>
    <w:p w:rsidR="000579ED" w:rsidRDefault="00DD0D1D">
      <w:pPr>
        <w:pStyle w:val="10"/>
        <w:adjustRightInd w:val="0"/>
        <w:snapToGrid w:val="0"/>
        <w:spacing w:before="0" w:line="440" w:lineRule="exact"/>
        <w:jc w:val="left"/>
        <w:rPr>
          <w:rFonts w:ascii="Times New Roman" w:hAnsi="Times New Roman"/>
          <w:sz w:val="24"/>
          <w:szCs w:val="24"/>
        </w:rPr>
      </w:pPr>
      <w:r>
        <w:rPr>
          <w:rFonts w:ascii="Times New Roman" w:hAnsi="Times New Roman"/>
          <w:sz w:val="24"/>
        </w:rPr>
        <w:t>第四部分附件</w:t>
      </w:r>
      <w:r>
        <w:rPr>
          <w:rFonts w:ascii="Times New Roman" w:hAnsi="Times New Roman"/>
          <w:sz w:val="24"/>
          <w:szCs w:val="24"/>
        </w:rPr>
        <w:tab/>
        <w:t>18</w:t>
      </w:r>
    </w:p>
    <w:p w:rsidR="000579ED" w:rsidRDefault="00DD0D1D">
      <w:pPr>
        <w:pStyle w:val="10"/>
        <w:adjustRightInd w:val="0"/>
        <w:snapToGrid w:val="0"/>
        <w:spacing w:before="0" w:line="440" w:lineRule="exact"/>
        <w:jc w:val="left"/>
        <w:rPr>
          <w:rFonts w:ascii="Times New Roman" w:hAnsi="Times New Roman"/>
          <w:sz w:val="24"/>
          <w:szCs w:val="24"/>
        </w:rPr>
      </w:pPr>
      <w:r>
        <w:rPr>
          <w:rFonts w:ascii="Times New Roman" w:hAnsi="Times New Roman"/>
          <w:sz w:val="24"/>
        </w:rPr>
        <w:t>第五部分附表</w:t>
      </w:r>
      <w:r>
        <w:rPr>
          <w:rFonts w:ascii="Times New Roman" w:hAnsi="Times New Roman"/>
          <w:sz w:val="24"/>
          <w:szCs w:val="24"/>
        </w:rPr>
        <w:tab/>
        <w:t>19</w:t>
      </w:r>
    </w:p>
    <w:p w:rsidR="000579ED" w:rsidRDefault="00DD0D1D">
      <w:pPr>
        <w:pStyle w:val="20"/>
        <w:adjustRightInd w:val="0"/>
        <w:snapToGrid w:val="0"/>
        <w:spacing w:line="440" w:lineRule="exact"/>
        <w:jc w:val="left"/>
        <w:rPr>
          <w:sz w:val="24"/>
        </w:rPr>
      </w:pPr>
      <w:r>
        <w:rPr>
          <w:sz w:val="24"/>
        </w:rPr>
        <w:t>一、收入支出决算总表</w:t>
      </w:r>
      <w:r>
        <w:rPr>
          <w:sz w:val="24"/>
        </w:rPr>
        <w:tab/>
        <w:t>19</w:t>
      </w:r>
    </w:p>
    <w:p w:rsidR="000579ED" w:rsidRDefault="00DD0D1D">
      <w:pPr>
        <w:pStyle w:val="20"/>
        <w:adjustRightInd w:val="0"/>
        <w:snapToGrid w:val="0"/>
        <w:spacing w:line="440" w:lineRule="exact"/>
        <w:jc w:val="left"/>
        <w:rPr>
          <w:sz w:val="24"/>
        </w:rPr>
      </w:pPr>
      <w:r>
        <w:rPr>
          <w:sz w:val="24"/>
        </w:rPr>
        <w:t>二、收入决算表</w:t>
      </w:r>
      <w:r>
        <w:rPr>
          <w:sz w:val="24"/>
        </w:rPr>
        <w:tab/>
        <w:t>19</w:t>
      </w:r>
    </w:p>
    <w:p w:rsidR="000579ED" w:rsidRDefault="00DD0D1D">
      <w:pPr>
        <w:pStyle w:val="20"/>
        <w:adjustRightInd w:val="0"/>
        <w:snapToGrid w:val="0"/>
        <w:spacing w:line="440" w:lineRule="exact"/>
        <w:jc w:val="left"/>
        <w:rPr>
          <w:sz w:val="24"/>
        </w:rPr>
      </w:pPr>
      <w:r>
        <w:rPr>
          <w:sz w:val="24"/>
        </w:rPr>
        <w:t>三、支出决算表</w:t>
      </w:r>
      <w:r>
        <w:rPr>
          <w:sz w:val="24"/>
        </w:rPr>
        <w:tab/>
        <w:t>19</w:t>
      </w:r>
    </w:p>
    <w:p w:rsidR="000579ED" w:rsidRDefault="00DD0D1D">
      <w:pPr>
        <w:pStyle w:val="20"/>
        <w:adjustRightInd w:val="0"/>
        <w:snapToGrid w:val="0"/>
        <w:spacing w:line="440" w:lineRule="exact"/>
        <w:jc w:val="left"/>
        <w:rPr>
          <w:sz w:val="24"/>
        </w:rPr>
      </w:pPr>
      <w:r>
        <w:rPr>
          <w:sz w:val="24"/>
        </w:rPr>
        <w:t>四、财政拨款收入支出决算总表</w:t>
      </w:r>
      <w:r>
        <w:rPr>
          <w:sz w:val="24"/>
        </w:rPr>
        <w:tab/>
        <w:t>19</w:t>
      </w:r>
    </w:p>
    <w:p w:rsidR="000579ED" w:rsidRDefault="00DD0D1D">
      <w:pPr>
        <w:pStyle w:val="20"/>
        <w:adjustRightInd w:val="0"/>
        <w:snapToGrid w:val="0"/>
        <w:spacing w:line="440" w:lineRule="exact"/>
        <w:jc w:val="left"/>
        <w:rPr>
          <w:sz w:val="24"/>
        </w:rPr>
      </w:pPr>
      <w:r>
        <w:rPr>
          <w:sz w:val="24"/>
        </w:rPr>
        <w:t>五、财政拨款支出决算明细表</w:t>
      </w:r>
      <w:r>
        <w:rPr>
          <w:sz w:val="24"/>
        </w:rPr>
        <w:tab/>
        <w:t>19</w:t>
      </w:r>
    </w:p>
    <w:p w:rsidR="000579ED" w:rsidRDefault="00DD0D1D">
      <w:pPr>
        <w:pStyle w:val="20"/>
        <w:adjustRightInd w:val="0"/>
        <w:snapToGrid w:val="0"/>
        <w:spacing w:line="440" w:lineRule="exact"/>
        <w:jc w:val="left"/>
        <w:rPr>
          <w:sz w:val="24"/>
        </w:rPr>
      </w:pPr>
      <w:r>
        <w:rPr>
          <w:sz w:val="24"/>
        </w:rPr>
        <w:t>六、一般公共预算财政拨款支出决算表</w:t>
      </w:r>
      <w:r>
        <w:rPr>
          <w:sz w:val="24"/>
        </w:rPr>
        <w:tab/>
        <w:t>19</w:t>
      </w:r>
    </w:p>
    <w:p w:rsidR="000579ED" w:rsidRDefault="00DD0D1D">
      <w:pPr>
        <w:pStyle w:val="20"/>
        <w:adjustRightInd w:val="0"/>
        <w:snapToGrid w:val="0"/>
        <w:spacing w:line="440" w:lineRule="exact"/>
        <w:jc w:val="left"/>
        <w:rPr>
          <w:sz w:val="24"/>
        </w:rPr>
      </w:pPr>
      <w:r>
        <w:rPr>
          <w:sz w:val="24"/>
        </w:rPr>
        <w:t>七、一般公共预算财政拨款支出决算明细表</w:t>
      </w:r>
      <w:r>
        <w:rPr>
          <w:sz w:val="24"/>
        </w:rPr>
        <w:tab/>
        <w:t>19</w:t>
      </w:r>
    </w:p>
    <w:p w:rsidR="000579ED" w:rsidRDefault="00DD0D1D">
      <w:pPr>
        <w:pStyle w:val="20"/>
        <w:adjustRightInd w:val="0"/>
        <w:snapToGrid w:val="0"/>
        <w:spacing w:line="440" w:lineRule="exact"/>
        <w:jc w:val="left"/>
        <w:rPr>
          <w:sz w:val="24"/>
        </w:rPr>
      </w:pPr>
      <w:r>
        <w:rPr>
          <w:sz w:val="24"/>
        </w:rPr>
        <w:t>八、一般公共预算财政拨款基本支出决算明细表</w:t>
      </w:r>
      <w:r>
        <w:rPr>
          <w:sz w:val="24"/>
        </w:rPr>
        <w:tab/>
        <w:t>19</w:t>
      </w:r>
    </w:p>
    <w:p w:rsidR="000579ED" w:rsidRDefault="00DD0D1D">
      <w:pPr>
        <w:pStyle w:val="20"/>
        <w:adjustRightInd w:val="0"/>
        <w:snapToGrid w:val="0"/>
        <w:spacing w:line="440" w:lineRule="exact"/>
        <w:jc w:val="left"/>
        <w:rPr>
          <w:sz w:val="24"/>
        </w:rPr>
      </w:pPr>
      <w:r>
        <w:rPr>
          <w:sz w:val="24"/>
        </w:rPr>
        <w:t>九、一般公共预算财政拨款项目支出决算表</w:t>
      </w:r>
      <w:r>
        <w:rPr>
          <w:sz w:val="24"/>
        </w:rPr>
        <w:tab/>
        <w:t>19</w:t>
      </w:r>
    </w:p>
    <w:p w:rsidR="000579ED" w:rsidRDefault="00DD0D1D">
      <w:pPr>
        <w:pStyle w:val="20"/>
        <w:adjustRightInd w:val="0"/>
        <w:snapToGrid w:val="0"/>
        <w:spacing w:line="440" w:lineRule="exact"/>
        <w:jc w:val="left"/>
        <w:rPr>
          <w:sz w:val="24"/>
        </w:rPr>
      </w:pPr>
      <w:r>
        <w:rPr>
          <w:sz w:val="24"/>
        </w:rPr>
        <w:lastRenderedPageBreak/>
        <w:t>十、政府性基金预算财政拨款收入支出决算表</w:t>
      </w:r>
      <w:r>
        <w:rPr>
          <w:sz w:val="24"/>
        </w:rPr>
        <w:tab/>
        <w:t>19</w:t>
      </w:r>
    </w:p>
    <w:p w:rsidR="000579ED" w:rsidRDefault="00DD0D1D">
      <w:pPr>
        <w:pStyle w:val="20"/>
        <w:adjustRightInd w:val="0"/>
        <w:snapToGrid w:val="0"/>
        <w:spacing w:line="440" w:lineRule="exact"/>
        <w:jc w:val="left"/>
        <w:rPr>
          <w:sz w:val="24"/>
        </w:rPr>
      </w:pPr>
      <w:r>
        <w:rPr>
          <w:sz w:val="24"/>
        </w:rPr>
        <w:t>十一、国有资本经营预算财政拨款收入支出决算表</w:t>
      </w:r>
      <w:r>
        <w:rPr>
          <w:sz w:val="24"/>
        </w:rPr>
        <w:tab/>
        <w:t>19</w:t>
      </w:r>
    </w:p>
    <w:p w:rsidR="000579ED" w:rsidRDefault="00DD0D1D">
      <w:pPr>
        <w:pStyle w:val="20"/>
        <w:adjustRightInd w:val="0"/>
        <w:snapToGrid w:val="0"/>
        <w:spacing w:line="440" w:lineRule="exact"/>
        <w:jc w:val="left"/>
        <w:rPr>
          <w:sz w:val="24"/>
        </w:rPr>
      </w:pPr>
      <w:r>
        <w:rPr>
          <w:sz w:val="24"/>
        </w:rPr>
        <w:t>十二、国有资本经营预算财政拨款支出决算表</w:t>
      </w:r>
      <w:r>
        <w:rPr>
          <w:sz w:val="24"/>
        </w:rPr>
        <w:tab/>
        <w:t>19</w:t>
      </w:r>
    </w:p>
    <w:p w:rsidR="000579ED" w:rsidRDefault="00DD0D1D">
      <w:pPr>
        <w:pStyle w:val="20"/>
        <w:adjustRightInd w:val="0"/>
        <w:snapToGrid w:val="0"/>
        <w:spacing w:line="440" w:lineRule="exact"/>
        <w:jc w:val="left"/>
        <w:rPr>
          <w:sz w:val="24"/>
        </w:rPr>
      </w:pPr>
      <w:r>
        <w:rPr>
          <w:sz w:val="24"/>
        </w:rPr>
        <w:t>十三、财政拨款</w:t>
      </w:r>
      <w:r>
        <w:rPr>
          <w:sz w:val="24"/>
        </w:rPr>
        <w:t>“</w:t>
      </w:r>
      <w:r>
        <w:rPr>
          <w:sz w:val="24"/>
        </w:rPr>
        <w:t>三公</w:t>
      </w:r>
      <w:r>
        <w:rPr>
          <w:sz w:val="24"/>
        </w:rPr>
        <w:t>”</w:t>
      </w:r>
      <w:r>
        <w:rPr>
          <w:sz w:val="24"/>
        </w:rPr>
        <w:t>经费支出决算表</w:t>
      </w:r>
      <w:r>
        <w:rPr>
          <w:sz w:val="24"/>
        </w:rPr>
        <w:tab/>
        <w:t>19</w:t>
      </w:r>
    </w:p>
    <w:p w:rsidR="000579ED" w:rsidRDefault="00DD0D1D">
      <w:pPr>
        <w:widowControl/>
        <w:spacing w:line="440" w:lineRule="exact"/>
        <w:jc w:val="left"/>
        <w:rPr>
          <w:rFonts w:ascii="仿宋" w:eastAsia="仿宋" w:hAnsi="仿宋"/>
          <w:bCs/>
          <w:kern w:val="44"/>
          <w:sz w:val="24"/>
        </w:rPr>
      </w:pPr>
      <w:r>
        <w:rPr>
          <w:rFonts w:ascii="仿宋" w:eastAsia="仿宋" w:hAnsi="仿宋"/>
          <w:b/>
          <w:sz w:val="24"/>
        </w:rPr>
        <w:br w:type="page"/>
      </w:r>
    </w:p>
    <w:p w:rsidR="000579ED" w:rsidRDefault="000579ED">
      <w:pPr>
        <w:widowControl/>
        <w:spacing w:line="440" w:lineRule="exact"/>
        <w:jc w:val="left"/>
        <w:rPr>
          <w:rFonts w:ascii="仿宋" w:eastAsia="仿宋" w:hAnsi="仿宋"/>
          <w:bCs/>
          <w:kern w:val="44"/>
          <w:sz w:val="24"/>
        </w:rPr>
      </w:pPr>
      <w:bookmarkStart w:id="2" w:name="_Toc15377197"/>
      <w:bookmarkStart w:id="3" w:name="_Toc15396600"/>
      <w:bookmarkEnd w:id="0"/>
      <w:bookmarkEnd w:id="1"/>
    </w:p>
    <w:p w:rsidR="000579ED" w:rsidRDefault="00DD0D1D">
      <w:pPr>
        <w:pStyle w:val="1"/>
        <w:jc w:val="center"/>
        <w:rPr>
          <w:rStyle w:val="1Char"/>
          <w:rFonts w:ascii="黑体" w:eastAsia="黑体" w:hAnsi="黑体"/>
          <w:bCs/>
        </w:rPr>
      </w:pPr>
      <w:r>
        <w:rPr>
          <w:rFonts w:ascii="黑体" w:eastAsia="黑体" w:hAnsi="黑体" w:hint="eastAsia"/>
          <w:b w:val="0"/>
        </w:rPr>
        <w:t>第一部分 单位</w:t>
      </w:r>
      <w:r>
        <w:rPr>
          <w:rStyle w:val="1Char"/>
          <w:rFonts w:ascii="黑体" w:eastAsia="黑体" w:hAnsi="黑体" w:hint="eastAsia"/>
          <w:b/>
          <w:bCs/>
        </w:rPr>
        <w:t>概况</w:t>
      </w:r>
    </w:p>
    <w:p w:rsidR="000579ED" w:rsidRDefault="000579ED">
      <w:pPr>
        <w:widowControl/>
        <w:jc w:val="left"/>
        <w:rPr>
          <w:rFonts w:ascii="黑体" w:eastAsia="黑体"/>
          <w:sz w:val="32"/>
          <w:szCs w:val="32"/>
        </w:rPr>
      </w:pPr>
    </w:p>
    <w:p w:rsidR="000579ED" w:rsidRDefault="00DD0D1D">
      <w:pPr>
        <w:pStyle w:val="2"/>
        <w:numPr>
          <w:ilvl w:val="0"/>
          <w:numId w:val="1"/>
        </w:numPr>
        <w:suppressAutoHyphens/>
        <w:rPr>
          <w:rStyle w:val="2Char"/>
          <w:rFonts w:ascii="黑体" w:eastAsia="黑体" w:hAnsi="黑体" w:cs="Times New Roman"/>
          <w:b/>
          <w:bCs/>
        </w:rPr>
      </w:pPr>
      <w:r>
        <w:rPr>
          <w:rStyle w:val="2Char"/>
          <w:rFonts w:ascii="黑体" w:eastAsia="黑体" w:hAnsi="黑体" w:cs="Times New Roman" w:hint="eastAsia"/>
          <w:b/>
          <w:bCs/>
        </w:rPr>
        <w:t>主要职责</w:t>
      </w:r>
    </w:p>
    <w:p w:rsidR="000579ED" w:rsidRDefault="00DD0D1D">
      <w:pPr>
        <w:ind w:firstLineChars="200" w:firstLine="640"/>
        <w:rPr>
          <w:rFonts w:eastAsia="仿宋_GB2312"/>
          <w:color w:val="000000"/>
          <w:sz w:val="32"/>
          <w:szCs w:val="32"/>
        </w:rPr>
      </w:pPr>
      <w:r>
        <w:rPr>
          <w:rFonts w:eastAsia="仿宋_GB2312"/>
          <w:color w:val="000000"/>
          <w:sz w:val="32"/>
          <w:szCs w:val="32"/>
        </w:rPr>
        <w:t>攀枝花市二滩国家森林公园保护中心的主要职责为：</w:t>
      </w:r>
      <w:r>
        <w:rPr>
          <w:rFonts w:eastAsia="仿宋_GB2312"/>
          <w:color w:val="000000"/>
          <w:sz w:val="32"/>
          <w:szCs w:val="32"/>
        </w:rPr>
        <w:t>1.</w:t>
      </w:r>
      <w:r>
        <w:rPr>
          <w:rFonts w:eastAsia="仿宋_GB2312"/>
          <w:color w:val="000000"/>
          <w:sz w:val="32"/>
          <w:szCs w:val="32"/>
        </w:rPr>
        <w:t>负责二滩现有森林资源的保护、开发、利用；</w:t>
      </w:r>
      <w:r>
        <w:rPr>
          <w:rFonts w:eastAsia="仿宋_GB2312"/>
          <w:color w:val="000000"/>
          <w:sz w:val="32"/>
          <w:szCs w:val="32"/>
        </w:rPr>
        <w:t>2.</w:t>
      </w:r>
      <w:r>
        <w:rPr>
          <w:rFonts w:eastAsia="仿宋_GB2312"/>
          <w:color w:val="000000"/>
          <w:sz w:val="32"/>
          <w:szCs w:val="32"/>
        </w:rPr>
        <w:t>负责公园内旅游项目的规划、开发、建设及管理。</w:t>
      </w:r>
    </w:p>
    <w:p w:rsidR="000579ED" w:rsidRDefault="00DD0D1D">
      <w:pPr>
        <w:ind w:firstLineChars="200" w:firstLine="640"/>
      </w:pPr>
      <w:r>
        <w:rPr>
          <w:rFonts w:eastAsia="仿宋"/>
          <w:sz w:val="32"/>
          <w:szCs w:val="32"/>
        </w:rPr>
        <w:t>攀枝花市二滩风景名胜区保护中心的主要职责是：</w:t>
      </w:r>
      <w:r>
        <w:rPr>
          <w:rFonts w:eastAsia="仿宋"/>
          <w:sz w:val="32"/>
          <w:szCs w:val="32"/>
        </w:rPr>
        <w:t>1.</w:t>
      </w:r>
      <w:r>
        <w:rPr>
          <w:rFonts w:eastAsia="仿宋"/>
          <w:sz w:val="32"/>
          <w:szCs w:val="32"/>
        </w:rPr>
        <w:t>规划管理：参与编制景区建设总体规划和景区详细建设规划。初审开发建设项目规划，审查建设项目可行性报告，出具选址定点意见，审查建设项目设计方案；</w:t>
      </w:r>
      <w:r>
        <w:rPr>
          <w:rFonts w:eastAsia="仿宋"/>
          <w:sz w:val="32"/>
          <w:szCs w:val="32"/>
        </w:rPr>
        <w:t>2.</w:t>
      </w:r>
      <w:r>
        <w:rPr>
          <w:rFonts w:eastAsia="仿宋"/>
          <w:sz w:val="32"/>
          <w:szCs w:val="32"/>
        </w:rPr>
        <w:t>土地资源管理：核定建设项目用地位置和界限；</w:t>
      </w:r>
      <w:r>
        <w:rPr>
          <w:rFonts w:eastAsia="仿宋"/>
          <w:sz w:val="32"/>
          <w:szCs w:val="32"/>
        </w:rPr>
        <w:t>3.</w:t>
      </w:r>
      <w:r>
        <w:rPr>
          <w:rFonts w:eastAsia="仿宋"/>
          <w:sz w:val="32"/>
          <w:szCs w:val="32"/>
        </w:rPr>
        <w:t>林地资源管理：审查占用、征用或转让景区范围内的林地；</w:t>
      </w:r>
      <w:r>
        <w:rPr>
          <w:rFonts w:eastAsia="仿宋"/>
          <w:sz w:val="32"/>
          <w:szCs w:val="32"/>
        </w:rPr>
        <w:t>4.</w:t>
      </w:r>
      <w:r>
        <w:rPr>
          <w:rFonts w:eastAsia="仿宋"/>
          <w:sz w:val="32"/>
          <w:szCs w:val="32"/>
        </w:rPr>
        <w:t>监督管理：负责保护景区内的森林、水源和自然、人文景观不受破坏和污染；</w:t>
      </w:r>
      <w:r>
        <w:rPr>
          <w:rFonts w:eastAsia="仿宋"/>
          <w:sz w:val="32"/>
          <w:szCs w:val="32"/>
        </w:rPr>
        <w:t>5.</w:t>
      </w:r>
      <w:r>
        <w:rPr>
          <w:rFonts w:eastAsia="仿宋"/>
          <w:sz w:val="32"/>
          <w:szCs w:val="32"/>
        </w:rPr>
        <w:t>行政执法管理：负责景区范围内有关法律、法规的行政执法工作；</w:t>
      </w:r>
      <w:r>
        <w:rPr>
          <w:rFonts w:eastAsia="仿宋"/>
          <w:sz w:val="32"/>
          <w:szCs w:val="32"/>
        </w:rPr>
        <w:t>6.</w:t>
      </w:r>
      <w:r>
        <w:rPr>
          <w:rFonts w:eastAsia="仿宋"/>
          <w:sz w:val="32"/>
          <w:szCs w:val="32"/>
        </w:rPr>
        <w:t>负责景区对外宣传和招商引资工作；</w:t>
      </w:r>
      <w:r>
        <w:rPr>
          <w:rFonts w:eastAsia="仿宋"/>
          <w:sz w:val="32"/>
          <w:szCs w:val="32"/>
        </w:rPr>
        <w:t>7.</w:t>
      </w:r>
      <w:r>
        <w:rPr>
          <w:rFonts w:eastAsia="仿宋"/>
          <w:sz w:val="32"/>
          <w:szCs w:val="32"/>
        </w:rPr>
        <w:t>经营管理：负责对景区范围内从事经营活动的单位和个人依法进行监督管理；</w:t>
      </w:r>
      <w:r>
        <w:rPr>
          <w:rFonts w:eastAsia="仿宋"/>
          <w:sz w:val="32"/>
          <w:szCs w:val="32"/>
        </w:rPr>
        <w:t>8.</w:t>
      </w:r>
      <w:r>
        <w:rPr>
          <w:rFonts w:eastAsia="仿宋"/>
          <w:sz w:val="32"/>
          <w:szCs w:val="32"/>
        </w:rPr>
        <w:t>协助市交通、环保和公安等部门开展港监、环保、治安管理工作。</w:t>
      </w:r>
    </w:p>
    <w:p w:rsidR="000579ED" w:rsidRDefault="00DD0D1D">
      <w:pPr>
        <w:pStyle w:val="2"/>
        <w:ind w:firstLineChars="200" w:firstLine="640"/>
        <w:rPr>
          <w:rFonts w:ascii="Times New Roman" w:eastAsia="黑体" w:hAnsi="Times New Roman" w:cs="Times New Roman"/>
          <w:b w:val="0"/>
        </w:rPr>
      </w:pPr>
      <w:r>
        <w:rPr>
          <w:rFonts w:ascii="Times New Roman" w:eastAsia="黑体" w:hAnsi="Times New Roman" w:cs="Times New Roman"/>
          <w:b w:val="0"/>
        </w:rPr>
        <w:lastRenderedPageBreak/>
        <w:t>二、机构设置</w:t>
      </w:r>
    </w:p>
    <w:bookmarkEnd w:id="2"/>
    <w:bookmarkEnd w:id="3"/>
    <w:p w:rsidR="000579ED" w:rsidRDefault="00DD0D1D">
      <w:pPr>
        <w:snapToGrid w:val="0"/>
        <w:spacing w:line="520" w:lineRule="exact"/>
        <w:ind w:firstLineChars="200" w:firstLine="640"/>
        <w:rPr>
          <w:rFonts w:eastAsia="仿宋"/>
          <w:sz w:val="32"/>
          <w:szCs w:val="32"/>
        </w:rPr>
      </w:pPr>
      <w:r>
        <w:rPr>
          <w:rFonts w:eastAsia="仿宋"/>
          <w:sz w:val="32"/>
          <w:szCs w:val="32"/>
        </w:rPr>
        <w:t>我单位为市林业局直属管理二级独立核算参照公务员法管理全额拨款公益一类事业单位，本年度机构无变动情况。</w:t>
      </w:r>
      <w:r>
        <w:rPr>
          <w:rFonts w:eastAsia="仿宋"/>
          <w:color w:val="000000"/>
          <w:sz w:val="32"/>
          <w:szCs w:val="32"/>
        </w:rPr>
        <w:t>人员编制为</w:t>
      </w:r>
      <w:r>
        <w:rPr>
          <w:rFonts w:eastAsia="仿宋"/>
          <w:color w:val="000000"/>
          <w:sz w:val="32"/>
          <w:szCs w:val="32"/>
        </w:rPr>
        <w:t>7</w:t>
      </w:r>
      <w:r>
        <w:rPr>
          <w:rFonts w:eastAsia="仿宋"/>
          <w:color w:val="000000"/>
          <w:sz w:val="32"/>
          <w:szCs w:val="32"/>
        </w:rPr>
        <w:t>名，实有人员为</w:t>
      </w:r>
      <w:r>
        <w:rPr>
          <w:rFonts w:eastAsia="仿宋" w:hint="eastAsia"/>
          <w:color w:val="000000"/>
          <w:sz w:val="32"/>
          <w:szCs w:val="32"/>
        </w:rPr>
        <w:t>6</w:t>
      </w:r>
      <w:r>
        <w:rPr>
          <w:rFonts w:eastAsia="仿宋"/>
          <w:color w:val="000000"/>
          <w:sz w:val="32"/>
          <w:szCs w:val="32"/>
        </w:rPr>
        <w:t>名，退休人员</w:t>
      </w:r>
      <w:r>
        <w:rPr>
          <w:rFonts w:eastAsia="仿宋"/>
          <w:color w:val="000000"/>
          <w:sz w:val="32"/>
          <w:szCs w:val="32"/>
        </w:rPr>
        <w:t>5</w:t>
      </w:r>
      <w:r>
        <w:rPr>
          <w:rFonts w:eastAsia="仿宋"/>
          <w:color w:val="000000"/>
          <w:sz w:val="32"/>
          <w:szCs w:val="32"/>
        </w:rPr>
        <w:t>名（已交社保统一管理）。</w:t>
      </w:r>
    </w:p>
    <w:p w:rsidR="000579ED" w:rsidRDefault="00DD0D1D">
      <w:pPr>
        <w:widowControl/>
        <w:jc w:val="left"/>
        <w:rPr>
          <w:rFonts w:eastAsia="仿宋"/>
          <w:kern w:val="0"/>
          <w:sz w:val="32"/>
          <w:szCs w:val="32"/>
        </w:rPr>
      </w:pPr>
      <w:r>
        <w:rPr>
          <w:rFonts w:eastAsia="仿宋"/>
          <w:sz w:val="32"/>
          <w:szCs w:val="32"/>
        </w:rPr>
        <w:br w:type="page"/>
      </w:r>
    </w:p>
    <w:p w:rsidR="000579ED" w:rsidRDefault="00DD0D1D">
      <w:pPr>
        <w:pStyle w:val="1"/>
        <w:ind w:right="440"/>
        <w:jc w:val="center"/>
        <w:rPr>
          <w:rStyle w:val="1Char"/>
          <w:rFonts w:eastAsia="黑体"/>
          <w:bCs/>
        </w:rPr>
      </w:pPr>
      <w:bookmarkStart w:id="4" w:name="_Toc15396602"/>
      <w:bookmarkStart w:id="5" w:name="_Toc15377204"/>
      <w:r>
        <w:rPr>
          <w:rFonts w:eastAsia="黑体"/>
          <w:b w:val="0"/>
        </w:rPr>
        <w:lastRenderedPageBreak/>
        <w:t>第二部分</w:t>
      </w:r>
      <w:r>
        <w:rPr>
          <w:rFonts w:eastAsia="黑体"/>
          <w:b w:val="0"/>
        </w:rPr>
        <w:t xml:space="preserve"> 202</w:t>
      </w:r>
      <w:r>
        <w:rPr>
          <w:rFonts w:eastAsia="黑体" w:hint="eastAsia"/>
          <w:b w:val="0"/>
        </w:rPr>
        <w:t>3</w:t>
      </w:r>
      <w:r>
        <w:rPr>
          <w:rFonts w:eastAsia="黑体"/>
          <w:b w:val="0"/>
        </w:rPr>
        <w:t>年度</w:t>
      </w:r>
      <w:r>
        <w:rPr>
          <w:rStyle w:val="1Char"/>
          <w:rFonts w:eastAsia="黑体"/>
          <w:bCs/>
        </w:rPr>
        <w:t>单位决算情况说明</w:t>
      </w:r>
      <w:bookmarkEnd w:id="4"/>
      <w:bookmarkEnd w:id="5"/>
    </w:p>
    <w:p w:rsidR="000579ED" w:rsidRDefault="000579ED"/>
    <w:p w:rsidR="000579ED" w:rsidRDefault="00DD0D1D">
      <w:pPr>
        <w:spacing w:line="600" w:lineRule="exact"/>
        <w:ind w:left="640"/>
        <w:outlineLvl w:val="1"/>
        <w:rPr>
          <w:rStyle w:val="2Char"/>
          <w:rFonts w:ascii="Times New Roman" w:eastAsia="黑体" w:hAnsi="Times New Roman" w:cs="Times New Roman"/>
          <w:b w:val="0"/>
        </w:rPr>
      </w:pPr>
      <w:bookmarkStart w:id="6" w:name="_Toc15396603"/>
      <w:bookmarkStart w:id="7" w:name="_Toc15377205"/>
      <w:r>
        <w:rPr>
          <w:rFonts w:eastAsia="黑体" w:hint="eastAsia"/>
          <w:sz w:val="32"/>
          <w:szCs w:val="32"/>
        </w:rPr>
        <w:t>一、</w:t>
      </w:r>
      <w:r>
        <w:rPr>
          <w:rFonts w:eastAsia="黑体"/>
          <w:sz w:val="32"/>
          <w:szCs w:val="32"/>
        </w:rPr>
        <w:t>收</w:t>
      </w:r>
      <w:r>
        <w:rPr>
          <w:rStyle w:val="2Char"/>
          <w:rFonts w:ascii="Times New Roman" w:eastAsia="黑体" w:hAnsi="Times New Roman" w:cs="Times New Roman"/>
          <w:b w:val="0"/>
        </w:rPr>
        <w:t>入支出决算总体情况说明</w:t>
      </w:r>
      <w:bookmarkEnd w:id="6"/>
      <w:bookmarkEnd w:id="7"/>
    </w:p>
    <w:p w:rsidR="000579ED" w:rsidRDefault="00DD0D1D">
      <w:pPr>
        <w:snapToGrid w:val="0"/>
        <w:spacing w:line="520" w:lineRule="exact"/>
        <w:ind w:firstLineChars="200" w:firstLine="640"/>
        <w:rPr>
          <w:rFonts w:eastAsia="仿宋_GB2312"/>
          <w:color w:val="FF0000"/>
          <w:sz w:val="32"/>
          <w:szCs w:val="32"/>
        </w:rPr>
      </w:pPr>
      <w:r>
        <w:rPr>
          <w:rFonts w:ascii="仿宋" w:eastAsia="仿宋" w:hAnsi="仿宋" w:hint="eastAsia"/>
          <w:sz w:val="32"/>
          <w:szCs w:val="32"/>
        </w:rPr>
        <w:t>2023年度收、支总计均为474.55万元。与2022年度相比，收、支总计增加87.09万元，增长22.48%。主要变动原因是2023年项目支出增加</w:t>
      </w:r>
      <w:r>
        <w:rPr>
          <w:rFonts w:eastAsia="仿宋"/>
          <w:color w:val="000000" w:themeColor="text1"/>
          <w:sz w:val="32"/>
          <w:szCs w:val="32"/>
        </w:rPr>
        <w:t>。</w:t>
      </w:r>
    </w:p>
    <w:p w:rsidR="000579ED" w:rsidRDefault="00DD0D1D">
      <w:pPr>
        <w:pStyle w:val="a0"/>
        <w:spacing w:before="93"/>
        <w:rPr>
          <w:rFonts w:ascii="Times New Roman"/>
        </w:rPr>
      </w:pPr>
      <w:r>
        <w:rPr>
          <w:rFonts w:ascii="Times New Roman"/>
          <w:noProof/>
        </w:rPr>
        <w:drawing>
          <wp:inline distT="0" distB="0" distL="0" distR="0">
            <wp:extent cx="5274310" cy="30765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579ED" w:rsidRDefault="00DD0D1D">
      <w:pPr>
        <w:spacing w:line="600" w:lineRule="exact"/>
        <w:ind w:left="640"/>
        <w:outlineLvl w:val="1"/>
        <w:rPr>
          <w:rStyle w:val="2Char"/>
          <w:rFonts w:ascii="Times New Roman" w:eastAsia="黑体" w:hAnsi="Times New Roman" w:cs="Times New Roman"/>
          <w:b w:val="0"/>
        </w:rPr>
      </w:pPr>
      <w:bookmarkStart w:id="8" w:name="_Toc15396604"/>
      <w:bookmarkStart w:id="9" w:name="_Toc15377206"/>
      <w:r>
        <w:rPr>
          <w:rFonts w:eastAsia="黑体" w:hint="eastAsia"/>
          <w:sz w:val="32"/>
          <w:szCs w:val="32"/>
        </w:rPr>
        <w:t>二、</w:t>
      </w:r>
      <w:r>
        <w:rPr>
          <w:rFonts w:eastAsia="黑体"/>
          <w:sz w:val="32"/>
          <w:szCs w:val="32"/>
        </w:rPr>
        <w:t>收</w:t>
      </w:r>
      <w:r>
        <w:rPr>
          <w:rStyle w:val="2Char"/>
          <w:rFonts w:ascii="Times New Roman" w:eastAsia="黑体" w:hAnsi="Times New Roman" w:cs="Times New Roman"/>
          <w:b w:val="0"/>
        </w:rPr>
        <w:t>入决算情况说明</w:t>
      </w:r>
      <w:bookmarkEnd w:id="8"/>
      <w:bookmarkEnd w:id="9"/>
    </w:p>
    <w:p w:rsidR="000579ED" w:rsidRDefault="00DD0D1D">
      <w:pPr>
        <w:spacing w:line="600" w:lineRule="exact"/>
        <w:ind w:firstLineChars="200" w:firstLine="640"/>
        <w:outlineLvl w:val="1"/>
        <w:rPr>
          <w:rFonts w:eastAsia="仿宋"/>
          <w:sz w:val="32"/>
          <w:szCs w:val="32"/>
        </w:rPr>
      </w:pPr>
      <w:r>
        <w:rPr>
          <w:rFonts w:ascii="仿宋" w:eastAsia="仿宋" w:hAnsi="仿宋" w:hint="eastAsia"/>
          <w:sz w:val="32"/>
          <w:szCs w:val="32"/>
        </w:rPr>
        <w:t>2023年度本年收入合计439.22万元，其中：一般公共预算财政拨款收入439.22万元，占100</w:t>
      </w:r>
      <w:r>
        <w:rPr>
          <w:rFonts w:ascii="仿宋" w:eastAsia="仿宋" w:hAnsi="仿宋"/>
          <w:sz w:val="32"/>
          <w:szCs w:val="32"/>
        </w:rPr>
        <w:t>%</w:t>
      </w:r>
      <w:r>
        <w:rPr>
          <w:rFonts w:ascii="仿宋" w:eastAsia="仿宋" w:hAnsi="仿宋" w:hint="eastAsia"/>
          <w:sz w:val="32"/>
          <w:szCs w:val="32"/>
        </w:rPr>
        <w:t>；政府性基金预算财政拨款收入0万元，占0</w:t>
      </w:r>
      <w:r>
        <w:rPr>
          <w:rFonts w:ascii="仿宋" w:eastAsia="仿宋" w:hAnsi="仿宋"/>
          <w:sz w:val="32"/>
          <w:szCs w:val="32"/>
        </w:rPr>
        <w:t>%</w:t>
      </w:r>
      <w:r>
        <w:rPr>
          <w:rFonts w:ascii="仿宋" w:eastAsia="仿宋" w:hAnsi="仿宋" w:hint="eastAsia"/>
          <w:sz w:val="32"/>
          <w:szCs w:val="32"/>
        </w:rPr>
        <w:t>；国有资本经营预算财政拨款收入0万元，占0</w:t>
      </w:r>
      <w:r>
        <w:rPr>
          <w:rFonts w:ascii="仿宋" w:eastAsia="仿宋" w:hAnsi="仿宋"/>
          <w:sz w:val="32"/>
          <w:szCs w:val="32"/>
        </w:rPr>
        <w:t>%</w:t>
      </w:r>
      <w:r>
        <w:rPr>
          <w:rFonts w:ascii="仿宋" w:eastAsia="仿宋" w:hAnsi="仿宋" w:hint="eastAsia"/>
          <w:sz w:val="32"/>
          <w:szCs w:val="32"/>
        </w:rPr>
        <w:t>；上级补助收入0万元，占</w:t>
      </w:r>
      <w:r>
        <w:rPr>
          <w:rFonts w:ascii="仿宋" w:eastAsia="仿宋" w:hAnsi="仿宋"/>
          <w:sz w:val="32"/>
          <w:szCs w:val="32"/>
        </w:rPr>
        <w:t>0%</w:t>
      </w:r>
      <w:r>
        <w:rPr>
          <w:rFonts w:ascii="仿宋" w:eastAsia="仿宋" w:hAnsi="仿宋" w:hint="eastAsia"/>
          <w:sz w:val="32"/>
          <w:szCs w:val="32"/>
        </w:rPr>
        <w:t>；事业收入</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；经营收入</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；附属单位上缴收入</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；其他收入</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eastAsia="仿宋"/>
          <w:sz w:val="32"/>
          <w:szCs w:val="32"/>
        </w:rPr>
        <w:t>。</w:t>
      </w:r>
    </w:p>
    <w:p w:rsidR="000579ED" w:rsidRDefault="00DD0D1D">
      <w:pPr>
        <w:pStyle w:val="a0"/>
        <w:spacing w:before="93"/>
        <w:rPr>
          <w:rFonts w:ascii="Times New Roman"/>
        </w:rPr>
      </w:pPr>
      <w:r>
        <w:rPr>
          <w:rFonts w:ascii="Times New Roman"/>
          <w:noProof/>
        </w:rPr>
        <w:lastRenderedPageBreak/>
        <w:drawing>
          <wp:inline distT="0" distB="0" distL="0" distR="0">
            <wp:extent cx="5357495" cy="3398520"/>
            <wp:effectExtent l="19050" t="0" r="1460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579ED" w:rsidRDefault="00DD0D1D">
      <w:pPr>
        <w:spacing w:line="600" w:lineRule="exact"/>
        <w:ind w:firstLineChars="200" w:firstLine="640"/>
        <w:outlineLvl w:val="1"/>
        <w:rPr>
          <w:rStyle w:val="2Char"/>
          <w:rFonts w:ascii="Times New Roman" w:eastAsia="黑体" w:hAnsi="Times New Roman" w:cs="Times New Roman"/>
          <w:b w:val="0"/>
        </w:rPr>
      </w:pPr>
      <w:bookmarkStart w:id="10" w:name="_Toc15396605"/>
      <w:bookmarkStart w:id="11" w:name="_Toc15377207"/>
      <w:r>
        <w:rPr>
          <w:rFonts w:eastAsia="黑体" w:hint="eastAsia"/>
          <w:sz w:val="32"/>
          <w:szCs w:val="32"/>
        </w:rPr>
        <w:t>三、</w:t>
      </w:r>
      <w:r>
        <w:rPr>
          <w:rFonts w:eastAsia="黑体"/>
          <w:sz w:val="32"/>
          <w:szCs w:val="32"/>
        </w:rPr>
        <w:t>支</w:t>
      </w:r>
      <w:r>
        <w:rPr>
          <w:rStyle w:val="2Char"/>
          <w:rFonts w:ascii="Times New Roman" w:eastAsia="黑体" w:hAnsi="Times New Roman" w:cs="Times New Roman"/>
          <w:b w:val="0"/>
        </w:rPr>
        <w:t>出决算情况说明</w:t>
      </w:r>
      <w:bookmarkEnd w:id="10"/>
      <w:bookmarkEnd w:id="11"/>
    </w:p>
    <w:p w:rsidR="000579ED" w:rsidRDefault="00DD0D1D">
      <w:pPr>
        <w:spacing w:line="600" w:lineRule="exact"/>
        <w:ind w:firstLineChars="200" w:firstLine="640"/>
        <w:outlineLvl w:val="1"/>
        <w:rPr>
          <w:rFonts w:ascii="仿宋" w:eastAsia="仿宋" w:hAnsi="仿宋"/>
          <w:sz w:val="32"/>
          <w:szCs w:val="32"/>
        </w:rPr>
      </w:pPr>
      <w:r>
        <w:rPr>
          <w:rFonts w:ascii="仿宋" w:eastAsia="仿宋" w:hAnsi="仿宋" w:hint="eastAsia"/>
          <w:sz w:val="32"/>
          <w:szCs w:val="32"/>
        </w:rPr>
        <w:t>2023年度本年支出合计449.22万元，其中：基本支出159.6万元，占35.53</w:t>
      </w:r>
      <w:r>
        <w:rPr>
          <w:rFonts w:ascii="仿宋" w:eastAsia="仿宋" w:hAnsi="仿宋"/>
          <w:sz w:val="32"/>
          <w:szCs w:val="32"/>
        </w:rPr>
        <w:t>%</w:t>
      </w:r>
      <w:r>
        <w:rPr>
          <w:rFonts w:ascii="仿宋" w:eastAsia="仿宋" w:hAnsi="仿宋" w:hint="eastAsia"/>
          <w:sz w:val="32"/>
          <w:szCs w:val="32"/>
        </w:rPr>
        <w:t>；项目支出289.62万元，占64.47</w:t>
      </w:r>
      <w:r>
        <w:rPr>
          <w:rFonts w:ascii="仿宋" w:eastAsia="仿宋" w:hAnsi="仿宋"/>
          <w:sz w:val="32"/>
          <w:szCs w:val="32"/>
        </w:rPr>
        <w:t>%</w:t>
      </w:r>
      <w:r>
        <w:rPr>
          <w:rFonts w:ascii="仿宋" w:eastAsia="仿宋" w:hAnsi="仿宋" w:hint="eastAsia"/>
          <w:sz w:val="32"/>
          <w:szCs w:val="32"/>
        </w:rPr>
        <w:t>；上缴上级支出0万元，占0</w:t>
      </w:r>
      <w:r>
        <w:rPr>
          <w:rFonts w:ascii="仿宋" w:eastAsia="仿宋" w:hAnsi="仿宋"/>
          <w:sz w:val="32"/>
          <w:szCs w:val="32"/>
        </w:rPr>
        <w:t>%</w:t>
      </w:r>
      <w:r>
        <w:rPr>
          <w:rFonts w:ascii="仿宋" w:eastAsia="仿宋" w:hAnsi="仿宋" w:hint="eastAsia"/>
          <w:sz w:val="32"/>
          <w:szCs w:val="32"/>
        </w:rPr>
        <w:t>；经营支出0万元，占0</w:t>
      </w:r>
      <w:r>
        <w:rPr>
          <w:rFonts w:ascii="仿宋" w:eastAsia="仿宋" w:hAnsi="仿宋"/>
          <w:sz w:val="32"/>
          <w:szCs w:val="32"/>
        </w:rPr>
        <w:t>%</w:t>
      </w:r>
      <w:r>
        <w:rPr>
          <w:rFonts w:ascii="仿宋" w:eastAsia="仿宋" w:hAnsi="仿宋" w:hint="eastAsia"/>
          <w:sz w:val="32"/>
          <w:szCs w:val="32"/>
        </w:rPr>
        <w:t>；对附属单位补助支出0万元，占0</w:t>
      </w:r>
      <w:r>
        <w:rPr>
          <w:rFonts w:ascii="仿宋" w:eastAsia="仿宋" w:hAnsi="仿宋"/>
          <w:sz w:val="32"/>
          <w:szCs w:val="32"/>
        </w:rPr>
        <w:t>%</w:t>
      </w:r>
      <w:r>
        <w:rPr>
          <w:rFonts w:ascii="仿宋" w:eastAsia="仿宋" w:hAnsi="仿宋" w:hint="eastAsia"/>
          <w:sz w:val="32"/>
          <w:szCs w:val="32"/>
        </w:rPr>
        <w:t>。</w:t>
      </w:r>
    </w:p>
    <w:p w:rsidR="000579ED" w:rsidRDefault="00DD0D1D">
      <w:pPr>
        <w:pStyle w:val="a0"/>
        <w:spacing w:before="93"/>
        <w:rPr>
          <w:rFonts w:ascii="Times New Roman"/>
        </w:rPr>
      </w:pPr>
      <w:r>
        <w:rPr>
          <w:rFonts w:ascii="Times New Roman"/>
          <w:noProof/>
        </w:rPr>
        <w:drawing>
          <wp:inline distT="0" distB="0" distL="0" distR="0">
            <wp:extent cx="5433060" cy="3008630"/>
            <wp:effectExtent l="19050" t="0" r="14915" b="886"/>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579ED" w:rsidRDefault="00DD0D1D">
      <w:pPr>
        <w:spacing w:line="600" w:lineRule="exact"/>
        <w:ind w:firstLineChars="200" w:firstLine="640"/>
        <w:outlineLvl w:val="1"/>
        <w:rPr>
          <w:rStyle w:val="2Char"/>
          <w:rFonts w:ascii="Times New Roman" w:eastAsia="黑体" w:hAnsi="Times New Roman" w:cs="Times New Roman"/>
          <w:b w:val="0"/>
        </w:rPr>
      </w:pPr>
      <w:bookmarkStart w:id="12" w:name="_Toc15396606"/>
      <w:bookmarkStart w:id="13" w:name="_Toc15377208"/>
      <w:r>
        <w:rPr>
          <w:rFonts w:eastAsia="黑体"/>
          <w:sz w:val="32"/>
          <w:szCs w:val="32"/>
        </w:rPr>
        <w:lastRenderedPageBreak/>
        <w:t>四、财</w:t>
      </w:r>
      <w:r>
        <w:rPr>
          <w:rStyle w:val="2Char"/>
          <w:rFonts w:ascii="Times New Roman" w:eastAsia="黑体" w:hAnsi="Times New Roman" w:cs="Times New Roman"/>
          <w:b w:val="0"/>
        </w:rPr>
        <w:t>政拨款收入支出决算总体情况说明</w:t>
      </w:r>
      <w:bookmarkEnd w:id="12"/>
      <w:bookmarkEnd w:id="13"/>
    </w:p>
    <w:p w:rsidR="000579ED" w:rsidRDefault="00DD0D1D">
      <w:pPr>
        <w:snapToGrid w:val="0"/>
        <w:spacing w:line="520" w:lineRule="exact"/>
        <w:ind w:firstLineChars="200" w:firstLine="640"/>
        <w:rPr>
          <w:rFonts w:eastAsia="仿宋_GB2312"/>
          <w:color w:val="FF0000"/>
          <w:sz w:val="32"/>
          <w:szCs w:val="32"/>
        </w:rPr>
      </w:pPr>
      <w:r>
        <w:rPr>
          <w:rFonts w:ascii="仿宋" w:eastAsia="仿宋" w:hAnsi="仿宋" w:hint="eastAsia"/>
          <w:sz w:val="32"/>
          <w:szCs w:val="32"/>
        </w:rPr>
        <w:t>2023年度财政拨款收、支总计均为439.22万元。与2022年度相比，财政拨款收、支总计各增加95.88万元，增长27.93</w:t>
      </w:r>
      <w:r>
        <w:rPr>
          <w:rFonts w:ascii="仿宋" w:eastAsia="仿宋" w:hAnsi="仿宋"/>
          <w:sz w:val="32"/>
          <w:szCs w:val="32"/>
        </w:rPr>
        <w:t>%</w:t>
      </w:r>
      <w:r>
        <w:rPr>
          <w:rFonts w:ascii="仿宋" w:eastAsia="仿宋" w:hAnsi="仿宋" w:hint="eastAsia"/>
          <w:sz w:val="32"/>
          <w:szCs w:val="32"/>
        </w:rPr>
        <w:t>。主要变动原因是2023年项目支出增加</w:t>
      </w:r>
      <w:r>
        <w:rPr>
          <w:rFonts w:eastAsia="仿宋"/>
          <w:color w:val="000000" w:themeColor="text1"/>
          <w:sz w:val="32"/>
          <w:szCs w:val="32"/>
        </w:rPr>
        <w:t>。</w:t>
      </w:r>
    </w:p>
    <w:p w:rsidR="000579ED" w:rsidRDefault="00DD0D1D">
      <w:pPr>
        <w:pStyle w:val="a0"/>
        <w:keepNext/>
        <w:spacing w:before="93"/>
        <w:rPr>
          <w:rFonts w:ascii="Times New Roman"/>
        </w:rPr>
      </w:pPr>
      <w:r>
        <w:rPr>
          <w:rFonts w:ascii="Times New Roman"/>
          <w:noProof/>
        </w:rPr>
        <w:drawing>
          <wp:inline distT="0" distB="0" distL="0" distR="0">
            <wp:extent cx="5534025" cy="3705225"/>
            <wp:effectExtent l="19050" t="0" r="9525"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579ED" w:rsidRDefault="00DD0D1D">
      <w:pPr>
        <w:spacing w:line="600" w:lineRule="exact"/>
        <w:ind w:firstLineChars="200" w:firstLine="640"/>
        <w:outlineLvl w:val="1"/>
        <w:rPr>
          <w:rStyle w:val="2Char"/>
          <w:rFonts w:ascii="Times New Roman" w:eastAsia="黑体" w:hAnsi="Times New Roman" w:cs="Times New Roman"/>
          <w:b w:val="0"/>
        </w:rPr>
      </w:pPr>
      <w:bookmarkStart w:id="14" w:name="_Toc15377209"/>
      <w:bookmarkStart w:id="15" w:name="_Toc15396607"/>
      <w:r>
        <w:rPr>
          <w:rFonts w:eastAsia="黑体"/>
          <w:sz w:val="32"/>
          <w:szCs w:val="32"/>
        </w:rPr>
        <w:t>五、</w:t>
      </w:r>
      <w:r>
        <w:rPr>
          <w:rFonts w:eastAsia="黑体"/>
          <w:b/>
          <w:sz w:val="32"/>
          <w:szCs w:val="32"/>
        </w:rPr>
        <w:t>一</w:t>
      </w:r>
      <w:r>
        <w:rPr>
          <w:rStyle w:val="2Char"/>
          <w:rFonts w:ascii="Times New Roman" w:eastAsia="黑体" w:hAnsi="Times New Roman" w:cs="Times New Roman"/>
          <w:b w:val="0"/>
        </w:rPr>
        <w:t>般公共预算财政拨款支出决算情况说明</w:t>
      </w:r>
      <w:bookmarkEnd w:id="14"/>
      <w:bookmarkEnd w:id="15"/>
    </w:p>
    <w:p w:rsidR="000579ED" w:rsidRDefault="00DD0D1D">
      <w:pPr>
        <w:spacing w:line="600" w:lineRule="exact"/>
        <w:ind w:firstLineChars="200" w:firstLine="643"/>
        <w:outlineLvl w:val="2"/>
        <w:rPr>
          <w:rFonts w:eastAsia="仿宋"/>
          <w:b/>
          <w:sz w:val="32"/>
          <w:szCs w:val="32"/>
        </w:rPr>
      </w:pPr>
      <w:bookmarkStart w:id="16" w:name="_Toc15377210"/>
      <w:r>
        <w:rPr>
          <w:rFonts w:eastAsia="仿宋"/>
          <w:b/>
          <w:sz w:val="32"/>
          <w:szCs w:val="32"/>
        </w:rPr>
        <w:t>（一）一般公共预算财政拨款支出决算总体情况</w:t>
      </w:r>
      <w:bookmarkEnd w:id="16"/>
      <w:r>
        <w:rPr>
          <w:rFonts w:eastAsia="仿宋"/>
          <w:b/>
          <w:sz w:val="32"/>
          <w:szCs w:val="32"/>
        </w:rPr>
        <w:t>。</w:t>
      </w:r>
    </w:p>
    <w:p w:rsidR="000579ED" w:rsidRDefault="00DD0D1D">
      <w:pPr>
        <w:snapToGrid w:val="0"/>
        <w:spacing w:line="520" w:lineRule="exact"/>
        <w:ind w:firstLineChars="200" w:firstLine="640"/>
        <w:rPr>
          <w:rFonts w:eastAsia="仿宋_GB2312"/>
          <w:color w:val="FF0000"/>
          <w:sz w:val="32"/>
          <w:szCs w:val="32"/>
        </w:rPr>
      </w:pPr>
      <w:r>
        <w:rPr>
          <w:rFonts w:ascii="仿宋" w:eastAsia="仿宋" w:hAnsi="仿宋" w:hint="eastAsia"/>
          <w:sz w:val="32"/>
          <w:szCs w:val="32"/>
        </w:rPr>
        <w:t>2023年度一般公共预算财政拨款支出439.22万元，占本年支出合计的97.77</w:t>
      </w:r>
      <w:r>
        <w:rPr>
          <w:rFonts w:ascii="仿宋" w:eastAsia="仿宋" w:hAnsi="仿宋"/>
          <w:sz w:val="32"/>
          <w:szCs w:val="32"/>
        </w:rPr>
        <w:t>%</w:t>
      </w:r>
      <w:r>
        <w:rPr>
          <w:rFonts w:ascii="仿宋" w:eastAsia="仿宋" w:hAnsi="仿宋" w:hint="eastAsia"/>
          <w:sz w:val="32"/>
          <w:szCs w:val="32"/>
        </w:rPr>
        <w:t>。与2022年度相比，一般公共预算财政拨款支出增加95.88万元，增长27.93</w:t>
      </w:r>
      <w:r>
        <w:rPr>
          <w:rFonts w:ascii="仿宋" w:eastAsia="仿宋" w:hAnsi="仿宋"/>
          <w:sz w:val="32"/>
          <w:szCs w:val="32"/>
        </w:rPr>
        <w:t>%</w:t>
      </w:r>
      <w:r>
        <w:rPr>
          <w:rFonts w:ascii="仿宋" w:eastAsia="仿宋" w:hAnsi="仿宋" w:hint="eastAsia"/>
          <w:sz w:val="32"/>
          <w:szCs w:val="32"/>
        </w:rPr>
        <w:t>。主要变动原因是2023年项目支出增加</w:t>
      </w:r>
      <w:r>
        <w:rPr>
          <w:rFonts w:eastAsia="仿宋"/>
          <w:color w:val="000000" w:themeColor="text1"/>
          <w:sz w:val="32"/>
          <w:szCs w:val="32"/>
        </w:rPr>
        <w:t>。</w:t>
      </w:r>
    </w:p>
    <w:p w:rsidR="000579ED" w:rsidRDefault="00DD0D1D">
      <w:pPr>
        <w:pStyle w:val="a0"/>
        <w:spacing w:before="93"/>
        <w:rPr>
          <w:rFonts w:ascii="Times New Roman"/>
        </w:rPr>
      </w:pPr>
      <w:bookmarkStart w:id="17" w:name="_Toc15377211"/>
      <w:r>
        <w:rPr>
          <w:rFonts w:ascii="Times New Roman"/>
          <w:noProof/>
        </w:rPr>
        <w:lastRenderedPageBreak/>
        <w:drawing>
          <wp:inline distT="0" distB="0" distL="0" distR="0">
            <wp:extent cx="5686425" cy="3619500"/>
            <wp:effectExtent l="19050" t="0" r="9525"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579ED" w:rsidRDefault="00DD0D1D">
      <w:pPr>
        <w:spacing w:line="600" w:lineRule="exact"/>
        <w:ind w:firstLineChars="200" w:firstLine="643"/>
        <w:outlineLvl w:val="2"/>
        <w:rPr>
          <w:rFonts w:eastAsia="仿宋"/>
          <w:b/>
          <w:sz w:val="32"/>
          <w:szCs w:val="32"/>
        </w:rPr>
      </w:pPr>
      <w:r>
        <w:rPr>
          <w:rFonts w:eastAsia="仿宋"/>
          <w:b/>
          <w:sz w:val="32"/>
          <w:szCs w:val="32"/>
        </w:rPr>
        <w:t>（二）一般公共预算财政拨款支出决算结构情况</w:t>
      </w:r>
      <w:bookmarkEnd w:id="17"/>
      <w:r>
        <w:rPr>
          <w:rFonts w:eastAsia="仿宋"/>
          <w:b/>
          <w:sz w:val="32"/>
          <w:szCs w:val="32"/>
        </w:rPr>
        <w:t>。</w:t>
      </w:r>
    </w:p>
    <w:p w:rsidR="000579ED" w:rsidRDefault="00DD0D1D">
      <w:pPr>
        <w:spacing w:line="600" w:lineRule="exact"/>
        <w:ind w:firstLine="640"/>
        <w:rPr>
          <w:rFonts w:eastAsia="仿宋"/>
          <w:b/>
          <w:sz w:val="32"/>
          <w:szCs w:val="32"/>
        </w:rPr>
      </w:pPr>
      <w:r>
        <w:rPr>
          <w:rFonts w:ascii="仿宋" w:eastAsia="仿宋" w:hAnsi="仿宋" w:hint="eastAsia"/>
          <w:sz w:val="32"/>
          <w:szCs w:val="32"/>
        </w:rPr>
        <w:t>2023年度一般公共预算财政拨款支出439.22万元，主要用于以下方面</w:t>
      </w:r>
      <w:r>
        <w:rPr>
          <w:rFonts w:ascii="仿宋" w:eastAsia="仿宋" w:hAnsi="仿宋"/>
          <w:sz w:val="32"/>
          <w:szCs w:val="32"/>
        </w:rPr>
        <w:t>:</w:t>
      </w:r>
      <w:r>
        <w:rPr>
          <w:rFonts w:ascii="仿宋" w:eastAsia="仿宋" w:hAnsi="仿宋" w:hint="eastAsia"/>
          <w:b/>
          <w:sz w:val="32"/>
          <w:szCs w:val="32"/>
        </w:rPr>
        <w:t>科学技术</w:t>
      </w:r>
      <w:r>
        <w:rPr>
          <w:rFonts w:ascii="仿宋" w:eastAsia="仿宋" w:hAnsi="仿宋" w:hint="eastAsia"/>
          <w:b/>
          <w:bCs/>
          <w:sz w:val="32"/>
          <w:szCs w:val="32"/>
        </w:rPr>
        <w:t>支出</w:t>
      </w:r>
      <w:r>
        <w:rPr>
          <w:rFonts w:ascii="仿宋" w:eastAsia="仿宋" w:hAnsi="仿宋" w:hint="eastAsia"/>
          <w:sz w:val="32"/>
          <w:szCs w:val="32"/>
        </w:rPr>
        <w:t>1万元，占0.23</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hint="eastAsia"/>
          <w:sz w:val="32"/>
          <w:szCs w:val="32"/>
        </w:rPr>
        <w:t>31.03万元，占7.06</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节能环保支出</w:t>
      </w:r>
      <w:r>
        <w:rPr>
          <w:rFonts w:ascii="仿宋" w:eastAsia="仿宋" w:hAnsi="仿宋" w:hint="eastAsia"/>
          <w:sz w:val="32"/>
          <w:szCs w:val="32"/>
        </w:rPr>
        <w:t>277.96万元，占63.28</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农林水支出</w:t>
      </w:r>
      <w:r>
        <w:rPr>
          <w:rFonts w:ascii="仿宋" w:eastAsia="仿宋" w:hAnsi="仿宋" w:hint="eastAsia"/>
          <w:sz w:val="32"/>
          <w:szCs w:val="32"/>
        </w:rPr>
        <w:t>118.53万元，占26.99</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hint="eastAsia"/>
          <w:sz w:val="32"/>
          <w:szCs w:val="32"/>
        </w:rPr>
        <w:t>10.7万元，占2.44</w:t>
      </w:r>
      <w:r>
        <w:rPr>
          <w:rFonts w:ascii="仿宋" w:eastAsia="仿宋" w:hAnsi="仿宋"/>
          <w:sz w:val="32"/>
          <w:szCs w:val="32"/>
        </w:rPr>
        <w:t>%</w:t>
      </w:r>
      <w:r>
        <w:rPr>
          <w:rFonts w:eastAsia="仿宋"/>
          <w:sz w:val="32"/>
          <w:szCs w:val="32"/>
        </w:rPr>
        <w:t>。</w:t>
      </w:r>
    </w:p>
    <w:p w:rsidR="000579ED" w:rsidRDefault="00DD0D1D">
      <w:pPr>
        <w:pStyle w:val="a0"/>
        <w:spacing w:before="93"/>
        <w:rPr>
          <w:rFonts w:ascii="Times New Roman"/>
        </w:rPr>
      </w:pPr>
      <w:r>
        <w:rPr>
          <w:rFonts w:ascii="Times New Roman"/>
          <w:noProof/>
        </w:rPr>
        <w:drawing>
          <wp:inline distT="0" distB="0" distL="0" distR="0">
            <wp:extent cx="5610225" cy="2724150"/>
            <wp:effectExtent l="19050" t="0" r="9525"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579ED" w:rsidRDefault="00DD0D1D">
      <w:pPr>
        <w:spacing w:line="600" w:lineRule="exact"/>
        <w:ind w:firstLineChars="200" w:firstLine="643"/>
        <w:outlineLvl w:val="2"/>
        <w:rPr>
          <w:rFonts w:eastAsia="仿宋"/>
          <w:b/>
          <w:sz w:val="32"/>
          <w:szCs w:val="32"/>
        </w:rPr>
      </w:pPr>
      <w:bookmarkStart w:id="18" w:name="_Toc15377212"/>
      <w:r>
        <w:rPr>
          <w:rFonts w:eastAsia="仿宋"/>
          <w:b/>
          <w:sz w:val="32"/>
          <w:szCs w:val="32"/>
        </w:rPr>
        <w:lastRenderedPageBreak/>
        <w:t>（三）一般公共预算财政拨款支出决算具体情况</w:t>
      </w:r>
      <w:bookmarkEnd w:id="18"/>
      <w:r>
        <w:rPr>
          <w:rFonts w:eastAsia="仿宋"/>
          <w:b/>
          <w:sz w:val="32"/>
          <w:szCs w:val="32"/>
        </w:rPr>
        <w:t>。</w:t>
      </w:r>
    </w:p>
    <w:p w:rsidR="000579ED" w:rsidRDefault="00DD0D1D">
      <w:pPr>
        <w:spacing w:line="600" w:lineRule="exact"/>
        <w:ind w:firstLineChars="200" w:firstLine="643"/>
        <w:outlineLvl w:val="2"/>
        <w:rPr>
          <w:rFonts w:ascii="仿宋" w:eastAsia="仿宋" w:hAnsi="仿宋"/>
          <w:sz w:val="32"/>
          <w:szCs w:val="32"/>
        </w:rPr>
      </w:pPr>
      <w:r>
        <w:rPr>
          <w:rFonts w:ascii="仿宋" w:eastAsia="仿宋" w:hAnsi="仿宋" w:hint="eastAsia"/>
          <w:b/>
          <w:sz w:val="32"/>
          <w:szCs w:val="32"/>
        </w:rPr>
        <w:t>2023年度一般公共预算支出决算数为439.22</w:t>
      </w:r>
      <w:r w:rsidR="004D0156">
        <w:rPr>
          <w:rFonts w:ascii="仿宋" w:eastAsia="仿宋" w:hAnsi="仿宋" w:hint="eastAsia"/>
          <w:b/>
          <w:sz w:val="32"/>
          <w:szCs w:val="32"/>
        </w:rPr>
        <w:t>万元</w:t>
      </w:r>
      <w:r>
        <w:rPr>
          <w:rFonts w:ascii="仿宋" w:eastAsia="仿宋" w:hAnsi="仿宋" w:hint="eastAsia"/>
          <w:sz w:val="32"/>
          <w:szCs w:val="32"/>
        </w:rPr>
        <w:t>，</w:t>
      </w:r>
      <w:r>
        <w:rPr>
          <w:rStyle w:val="a8"/>
          <w:rFonts w:ascii="仿宋" w:eastAsia="仿宋" w:hAnsi="仿宋" w:hint="eastAsia"/>
          <w:bCs/>
          <w:sz w:val="32"/>
          <w:szCs w:val="32"/>
        </w:rPr>
        <w:t>完成预算100</w:t>
      </w:r>
      <w:r>
        <w:rPr>
          <w:rStyle w:val="a8"/>
          <w:rFonts w:ascii="仿宋" w:eastAsia="仿宋" w:hAnsi="仿宋"/>
          <w:bCs/>
          <w:sz w:val="32"/>
          <w:szCs w:val="32"/>
        </w:rPr>
        <w:t>%</w:t>
      </w:r>
      <w:r>
        <w:rPr>
          <w:rStyle w:val="a8"/>
          <w:rFonts w:ascii="仿宋" w:eastAsia="仿宋" w:hAnsi="仿宋" w:hint="eastAsia"/>
          <w:bCs/>
          <w:sz w:val="32"/>
          <w:szCs w:val="32"/>
        </w:rPr>
        <w:t>。其中：</w:t>
      </w:r>
    </w:p>
    <w:p w:rsidR="000579ED" w:rsidRDefault="00DD0D1D">
      <w:pPr>
        <w:spacing w:line="600" w:lineRule="exact"/>
        <w:ind w:firstLineChars="200" w:firstLine="643"/>
        <w:rPr>
          <w:rStyle w:val="a8"/>
          <w:rFonts w:ascii="仿宋" w:eastAsia="仿宋" w:hAnsi="仿宋"/>
          <w:b w:val="0"/>
          <w:bCs/>
          <w:sz w:val="32"/>
          <w:szCs w:val="32"/>
        </w:rPr>
      </w:pPr>
      <w:r>
        <w:rPr>
          <w:rStyle w:val="a8"/>
          <w:rFonts w:ascii="仿宋" w:eastAsia="仿宋" w:hAnsi="仿宋"/>
          <w:bCs/>
          <w:sz w:val="32"/>
          <w:szCs w:val="32"/>
        </w:rPr>
        <w:t>1.</w:t>
      </w:r>
      <w:r>
        <w:rPr>
          <w:rStyle w:val="a8"/>
          <w:rFonts w:ascii="仿宋" w:eastAsia="仿宋" w:hAnsi="仿宋" w:hint="eastAsia"/>
          <w:bCs/>
          <w:sz w:val="32"/>
          <w:szCs w:val="32"/>
        </w:rPr>
        <w:t xml:space="preserve"> 科学技术支出（类）科学技术普及（款）其他科学技术普及支出（项）</w:t>
      </w:r>
      <w:r>
        <w:rPr>
          <w:rStyle w:val="a8"/>
          <w:rFonts w:ascii="仿宋" w:eastAsia="仿宋" w:hAnsi="仿宋"/>
          <w:bCs/>
          <w:sz w:val="32"/>
          <w:szCs w:val="32"/>
        </w:rPr>
        <w:t>:</w:t>
      </w:r>
      <w:r>
        <w:rPr>
          <w:rStyle w:val="a8"/>
          <w:rFonts w:ascii="仿宋" w:eastAsia="仿宋" w:hAnsi="仿宋" w:hint="eastAsia"/>
          <w:b w:val="0"/>
          <w:bCs/>
          <w:sz w:val="32"/>
          <w:szCs w:val="32"/>
        </w:rPr>
        <w:t>支出决算为1万元，完成预算100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0579ED" w:rsidRDefault="00DD0D1D">
      <w:pPr>
        <w:spacing w:line="600" w:lineRule="exact"/>
        <w:ind w:firstLineChars="200" w:firstLine="643"/>
        <w:rPr>
          <w:rFonts w:ascii="仿宋" w:eastAsia="仿宋" w:hAnsi="仿宋"/>
          <w:b/>
          <w:sz w:val="32"/>
          <w:szCs w:val="32"/>
        </w:rPr>
      </w:pPr>
      <w:r>
        <w:rPr>
          <w:rStyle w:val="a8"/>
          <w:rFonts w:ascii="仿宋" w:eastAsia="仿宋" w:hAnsi="仿宋" w:hint="eastAsia"/>
          <w:bCs/>
          <w:sz w:val="32"/>
          <w:szCs w:val="32"/>
        </w:rPr>
        <w:t>2</w:t>
      </w:r>
      <w:r>
        <w:rPr>
          <w:rStyle w:val="a8"/>
          <w:rFonts w:ascii="仿宋" w:eastAsia="仿宋" w:hAnsi="仿宋"/>
          <w:bCs/>
          <w:sz w:val="32"/>
          <w:szCs w:val="32"/>
        </w:rPr>
        <w:t>.</w:t>
      </w:r>
      <w:r>
        <w:rPr>
          <w:rStyle w:val="a8"/>
          <w:rFonts w:ascii="仿宋" w:eastAsia="仿宋" w:hAnsi="仿宋" w:hint="eastAsia"/>
          <w:bCs/>
          <w:sz w:val="32"/>
          <w:szCs w:val="32"/>
        </w:rPr>
        <w:t>社会保障和就业支出（类）行政事业单位养老支出（款）行政单位离退休（项）</w:t>
      </w:r>
      <w:r>
        <w:rPr>
          <w:rStyle w:val="a8"/>
          <w:rFonts w:ascii="仿宋" w:eastAsia="仿宋" w:hAnsi="仿宋"/>
          <w:bCs/>
          <w:sz w:val="32"/>
          <w:szCs w:val="32"/>
        </w:rPr>
        <w:t>:</w:t>
      </w:r>
      <w:r>
        <w:rPr>
          <w:rStyle w:val="a8"/>
          <w:rFonts w:ascii="仿宋" w:eastAsia="仿宋" w:hAnsi="仿宋" w:hint="eastAsia"/>
          <w:b w:val="0"/>
          <w:bCs/>
          <w:sz w:val="32"/>
          <w:szCs w:val="32"/>
        </w:rPr>
        <w:t>支出决算为15.82万元，完成预算100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0579ED" w:rsidRDefault="00DD0D1D">
      <w:pPr>
        <w:spacing w:line="600" w:lineRule="exact"/>
        <w:ind w:firstLineChars="200" w:firstLine="643"/>
        <w:rPr>
          <w:rFonts w:ascii="仿宋" w:eastAsia="仿宋" w:hAnsi="仿宋"/>
          <w:b/>
          <w:sz w:val="32"/>
          <w:szCs w:val="32"/>
        </w:rPr>
      </w:pPr>
      <w:r>
        <w:rPr>
          <w:rStyle w:val="a8"/>
          <w:rFonts w:ascii="仿宋" w:eastAsia="仿宋" w:hAnsi="仿宋" w:hint="eastAsia"/>
          <w:bCs/>
          <w:sz w:val="32"/>
          <w:szCs w:val="32"/>
        </w:rPr>
        <w:t>3.社会保障和就业支出（类）行政事业单位养老支出（款）机关事业单位基本养老保险缴费支出（项）</w:t>
      </w:r>
      <w:r>
        <w:rPr>
          <w:rStyle w:val="a8"/>
          <w:rFonts w:ascii="仿宋" w:eastAsia="仿宋" w:hAnsi="仿宋"/>
          <w:bCs/>
          <w:sz w:val="32"/>
          <w:szCs w:val="32"/>
        </w:rPr>
        <w:t>:</w:t>
      </w:r>
      <w:r>
        <w:rPr>
          <w:rStyle w:val="a8"/>
          <w:rFonts w:ascii="仿宋" w:eastAsia="仿宋" w:hAnsi="仿宋" w:hint="eastAsia"/>
          <w:b w:val="0"/>
          <w:bCs/>
          <w:sz w:val="32"/>
          <w:szCs w:val="32"/>
        </w:rPr>
        <w:t>支出决算为15.22万元，完成预算100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0579ED" w:rsidRDefault="00DD0D1D">
      <w:pPr>
        <w:spacing w:line="600" w:lineRule="exact"/>
        <w:ind w:firstLineChars="200" w:firstLine="643"/>
        <w:rPr>
          <w:rFonts w:ascii="仿宋" w:eastAsia="仿宋" w:hAnsi="仿宋"/>
          <w:b/>
          <w:sz w:val="32"/>
          <w:szCs w:val="32"/>
        </w:rPr>
      </w:pPr>
      <w:r>
        <w:rPr>
          <w:rStyle w:val="a8"/>
          <w:rFonts w:ascii="仿宋" w:eastAsia="仿宋" w:hAnsi="仿宋" w:hint="eastAsia"/>
          <w:bCs/>
          <w:sz w:val="32"/>
          <w:szCs w:val="32"/>
        </w:rPr>
        <w:t>4.节能环保支出（类）自然生态保护（款）自然保护地（项）</w:t>
      </w:r>
      <w:r>
        <w:rPr>
          <w:rStyle w:val="a8"/>
          <w:rFonts w:ascii="仿宋" w:eastAsia="仿宋" w:hAnsi="仿宋"/>
          <w:bCs/>
          <w:sz w:val="32"/>
          <w:szCs w:val="32"/>
        </w:rPr>
        <w:t>:</w:t>
      </w:r>
      <w:r>
        <w:rPr>
          <w:rStyle w:val="a8"/>
          <w:rFonts w:ascii="仿宋" w:eastAsia="仿宋" w:hAnsi="仿宋" w:hint="eastAsia"/>
          <w:b w:val="0"/>
          <w:bCs/>
          <w:sz w:val="32"/>
          <w:szCs w:val="32"/>
        </w:rPr>
        <w:t>支出决算为277.96万元，完成预算100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0579ED" w:rsidRDefault="00DD0D1D">
      <w:pPr>
        <w:spacing w:line="600" w:lineRule="exact"/>
        <w:ind w:firstLineChars="200" w:firstLine="643"/>
        <w:rPr>
          <w:rFonts w:ascii="仿宋" w:eastAsia="仿宋" w:hAnsi="仿宋"/>
          <w:b/>
          <w:sz w:val="32"/>
          <w:szCs w:val="32"/>
        </w:rPr>
      </w:pPr>
      <w:r>
        <w:rPr>
          <w:rStyle w:val="a8"/>
          <w:rFonts w:ascii="仿宋" w:eastAsia="仿宋" w:hAnsi="仿宋" w:hint="eastAsia"/>
          <w:bCs/>
          <w:sz w:val="32"/>
          <w:szCs w:val="32"/>
        </w:rPr>
        <w:t>5</w:t>
      </w:r>
      <w:r>
        <w:rPr>
          <w:rStyle w:val="a8"/>
          <w:rFonts w:ascii="仿宋" w:eastAsia="仿宋" w:hAnsi="仿宋"/>
          <w:bCs/>
          <w:sz w:val="32"/>
          <w:szCs w:val="32"/>
        </w:rPr>
        <w:t>.</w:t>
      </w:r>
      <w:r>
        <w:rPr>
          <w:rStyle w:val="a8"/>
          <w:rFonts w:ascii="仿宋" w:eastAsia="仿宋" w:hAnsi="仿宋" w:hint="eastAsia"/>
          <w:bCs/>
          <w:sz w:val="32"/>
          <w:szCs w:val="32"/>
        </w:rPr>
        <w:t>农林水支出（类）林业和草原（款）行政运行（项）</w:t>
      </w:r>
      <w:r>
        <w:rPr>
          <w:rStyle w:val="a8"/>
          <w:rFonts w:ascii="仿宋" w:eastAsia="仿宋" w:hAnsi="仿宋"/>
          <w:bCs/>
          <w:sz w:val="32"/>
          <w:szCs w:val="32"/>
        </w:rPr>
        <w:t>:</w:t>
      </w:r>
      <w:r>
        <w:rPr>
          <w:rStyle w:val="a8"/>
          <w:rFonts w:ascii="仿宋" w:eastAsia="仿宋" w:hAnsi="仿宋" w:hint="eastAsia"/>
          <w:b w:val="0"/>
          <w:bCs/>
          <w:sz w:val="32"/>
          <w:szCs w:val="32"/>
        </w:rPr>
        <w:t>支出决算为117.87万元，完成预算100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0579ED" w:rsidRDefault="00DD0D1D">
      <w:pPr>
        <w:spacing w:line="600" w:lineRule="exact"/>
        <w:ind w:firstLineChars="200" w:firstLine="643"/>
        <w:rPr>
          <w:rFonts w:ascii="仿宋" w:eastAsia="仿宋" w:hAnsi="仿宋"/>
          <w:b/>
          <w:sz w:val="32"/>
          <w:szCs w:val="32"/>
        </w:rPr>
      </w:pPr>
      <w:r>
        <w:rPr>
          <w:rStyle w:val="a8"/>
          <w:rFonts w:ascii="仿宋" w:eastAsia="仿宋" w:hAnsi="仿宋" w:hint="eastAsia"/>
          <w:bCs/>
          <w:sz w:val="32"/>
          <w:szCs w:val="32"/>
        </w:rPr>
        <w:t>6</w:t>
      </w:r>
      <w:r>
        <w:rPr>
          <w:rStyle w:val="a8"/>
          <w:rFonts w:ascii="仿宋" w:eastAsia="仿宋" w:hAnsi="仿宋"/>
          <w:bCs/>
          <w:sz w:val="32"/>
          <w:szCs w:val="32"/>
        </w:rPr>
        <w:t>.</w:t>
      </w:r>
      <w:r>
        <w:rPr>
          <w:rStyle w:val="a8"/>
          <w:rFonts w:ascii="仿宋" w:eastAsia="仿宋" w:hAnsi="仿宋" w:hint="eastAsia"/>
          <w:bCs/>
          <w:sz w:val="32"/>
          <w:szCs w:val="32"/>
        </w:rPr>
        <w:t>农林水支出（类）林业和草原（款）其他林业和草原支出（项）</w:t>
      </w:r>
      <w:r>
        <w:rPr>
          <w:rStyle w:val="a8"/>
          <w:rFonts w:ascii="仿宋" w:eastAsia="仿宋" w:hAnsi="仿宋"/>
          <w:bCs/>
          <w:sz w:val="32"/>
          <w:szCs w:val="32"/>
        </w:rPr>
        <w:t>:</w:t>
      </w:r>
      <w:r>
        <w:rPr>
          <w:rStyle w:val="a8"/>
          <w:rFonts w:ascii="仿宋" w:eastAsia="仿宋" w:hAnsi="仿宋" w:hint="eastAsia"/>
          <w:b w:val="0"/>
          <w:bCs/>
          <w:sz w:val="32"/>
          <w:szCs w:val="32"/>
        </w:rPr>
        <w:t>支出决算为0.66万元，完成预算100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0579ED" w:rsidRDefault="00DD0D1D">
      <w:pPr>
        <w:spacing w:line="600" w:lineRule="exact"/>
        <w:ind w:firstLineChars="200" w:firstLine="643"/>
        <w:rPr>
          <w:rFonts w:eastAsia="仿宋"/>
          <w:b/>
          <w:sz w:val="32"/>
          <w:szCs w:val="32"/>
        </w:rPr>
      </w:pPr>
      <w:r>
        <w:rPr>
          <w:rStyle w:val="a8"/>
          <w:rFonts w:ascii="仿宋" w:eastAsia="仿宋" w:hAnsi="仿宋" w:hint="eastAsia"/>
          <w:bCs/>
          <w:sz w:val="32"/>
          <w:szCs w:val="32"/>
        </w:rPr>
        <w:t>7</w:t>
      </w:r>
      <w:r>
        <w:rPr>
          <w:rStyle w:val="a8"/>
          <w:rFonts w:ascii="仿宋" w:eastAsia="仿宋" w:hAnsi="仿宋"/>
          <w:bCs/>
          <w:sz w:val="32"/>
          <w:szCs w:val="32"/>
        </w:rPr>
        <w:t>.</w:t>
      </w:r>
      <w:r>
        <w:rPr>
          <w:rFonts w:ascii="仿宋" w:eastAsia="仿宋" w:hAnsi="仿宋" w:hint="eastAsia"/>
          <w:b/>
          <w:bCs/>
          <w:sz w:val="32"/>
          <w:szCs w:val="32"/>
        </w:rPr>
        <w:t>住房保障支出</w:t>
      </w:r>
      <w:r>
        <w:rPr>
          <w:rStyle w:val="a8"/>
          <w:rFonts w:ascii="仿宋" w:eastAsia="仿宋" w:hAnsi="仿宋" w:hint="eastAsia"/>
          <w:bCs/>
          <w:sz w:val="32"/>
          <w:szCs w:val="32"/>
        </w:rPr>
        <w:t>（类）住房改革支出（款）住房公积金（项）</w:t>
      </w:r>
      <w:r>
        <w:rPr>
          <w:rStyle w:val="a8"/>
          <w:rFonts w:ascii="仿宋" w:eastAsia="仿宋" w:hAnsi="仿宋"/>
          <w:bCs/>
          <w:sz w:val="32"/>
          <w:szCs w:val="32"/>
        </w:rPr>
        <w:t>:</w:t>
      </w:r>
      <w:r>
        <w:rPr>
          <w:rStyle w:val="a8"/>
          <w:rFonts w:ascii="仿宋" w:eastAsia="仿宋" w:hAnsi="仿宋" w:hint="eastAsia"/>
          <w:b w:val="0"/>
          <w:bCs/>
          <w:sz w:val="32"/>
          <w:szCs w:val="32"/>
        </w:rPr>
        <w:t>支出决算为10.69万元，完成预算100</w:t>
      </w:r>
      <w:r>
        <w:rPr>
          <w:rStyle w:val="a8"/>
          <w:rFonts w:ascii="仿宋" w:eastAsia="仿宋" w:hAnsi="仿宋"/>
          <w:b w:val="0"/>
          <w:bCs/>
          <w:sz w:val="32"/>
          <w:szCs w:val="32"/>
        </w:rPr>
        <w:t>%</w:t>
      </w:r>
      <w:r>
        <w:rPr>
          <w:rStyle w:val="a8"/>
          <w:rFonts w:eastAsia="仿宋"/>
          <w:b w:val="0"/>
          <w:bCs/>
          <w:sz w:val="32"/>
          <w:szCs w:val="32"/>
        </w:rPr>
        <w:t>。</w:t>
      </w:r>
    </w:p>
    <w:p w:rsidR="000579ED" w:rsidRDefault="00DD0D1D">
      <w:pPr>
        <w:tabs>
          <w:tab w:val="right" w:pos="8306"/>
        </w:tabs>
        <w:spacing w:line="600" w:lineRule="exact"/>
        <w:ind w:firstLine="640"/>
        <w:outlineLvl w:val="1"/>
        <w:rPr>
          <w:rStyle w:val="2Char"/>
          <w:rFonts w:ascii="Times New Roman" w:hAnsi="Times New Roman" w:cs="Times New Roman"/>
        </w:rPr>
      </w:pPr>
      <w:bookmarkStart w:id="19" w:name="_Toc15396608"/>
      <w:bookmarkStart w:id="20" w:name="_Toc15377214"/>
      <w:r>
        <w:rPr>
          <w:rFonts w:eastAsia="黑体"/>
          <w:sz w:val="32"/>
          <w:szCs w:val="32"/>
        </w:rPr>
        <w:t>六</w:t>
      </w:r>
      <w:r>
        <w:rPr>
          <w:rFonts w:eastAsia="黑体"/>
          <w:b/>
          <w:sz w:val="32"/>
          <w:szCs w:val="32"/>
        </w:rPr>
        <w:t>、一</w:t>
      </w:r>
      <w:r>
        <w:rPr>
          <w:rStyle w:val="2Char"/>
          <w:rFonts w:ascii="Times New Roman" w:eastAsia="黑体" w:hAnsi="Times New Roman" w:cs="Times New Roman"/>
          <w:b w:val="0"/>
        </w:rPr>
        <w:t>般公共预算财政拨款基本支出决算情况说明</w:t>
      </w:r>
      <w:bookmarkEnd w:id="19"/>
      <w:bookmarkEnd w:id="20"/>
      <w:r>
        <w:rPr>
          <w:rStyle w:val="2Char"/>
          <w:rFonts w:ascii="Times New Roman" w:eastAsia="黑体" w:hAnsi="Times New Roman" w:cs="Times New Roman"/>
          <w:b w:val="0"/>
        </w:rPr>
        <w:tab/>
      </w:r>
    </w:p>
    <w:p w:rsidR="000579ED" w:rsidRDefault="00DD0D1D">
      <w:pPr>
        <w:spacing w:line="600" w:lineRule="exact"/>
        <w:ind w:firstLine="645"/>
        <w:rPr>
          <w:rFonts w:ascii="仿宋" w:eastAsia="仿宋" w:hAnsi="仿宋"/>
          <w:sz w:val="32"/>
          <w:szCs w:val="32"/>
        </w:rPr>
      </w:pPr>
      <w:r>
        <w:rPr>
          <w:rFonts w:ascii="仿宋" w:eastAsia="仿宋" w:hAnsi="仿宋" w:hint="eastAsia"/>
          <w:sz w:val="32"/>
          <w:szCs w:val="32"/>
        </w:rPr>
        <w:t>2023年度一般公共预算财政拨款基本支出159.6万元，其中：</w:t>
      </w:r>
    </w:p>
    <w:p w:rsidR="000579ED" w:rsidRDefault="00DD0D1D">
      <w:pPr>
        <w:spacing w:line="600" w:lineRule="exact"/>
        <w:ind w:firstLine="645"/>
        <w:rPr>
          <w:rFonts w:eastAsia="仿宋"/>
          <w:sz w:val="32"/>
          <w:szCs w:val="32"/>
        </w:rPr>
      </w:pPr>
      <w:r>
        <w:rPr>
          <w:rFonts w:ascii="仿宋" w:eastAsia="仿宋" w:hAnsi="仿宋" w:hint="eastAsia"/>
          <w:sz w:val="32"/>
          <w:szCs w:val="32"/>
        </w:rPr>
        <w:t>人员经费142.31万元，主要包括：基本工资、津贴补</w:t>
      </w:r>
      <w:r>
        <w:rPr>
          <w:rFonts w:ascii="仿宋" w:eastAsia="仿宋" w:hAnsi="仿宋" w:hint="eastAsia"/>
          <w:sz w:val="32"/>
          <w:szCs w:val="32"/>
        </w:rPr>
        <w:lastRenderedPageBreak/>
        <w:t>贴、奖金、机关事业单位基本养老保险缴费、职工基本医疗保险缴费、公务员医疗补助缴费、其他社会保障缴费、住房公积金、生活补助、医疗费补助等。</w:t>
      </w:r>
      <w:r>
        <w:rPr>
          <w:rFonts w:ascii="仿宋" w:eastAsia="仿宋" w:hAnsi="仿宋"/>
          <w:sz w:val="32"/>
          <w:szCs w:val="32"/>
        </w:rPr>
        <w:br/>
      </w:r>
      <w:r>
        <w:rPr>
          <w:rFonts w:ascii="仿宋" w:eastAsia="仿宋" w:hAnsi="仿宋" w:hint="eastAsia"/>
          <w:sz w:val="32"/>
          <w:szCs w:val="32"/>
        </w:rPr>
        <w:t xml:space="preserve">　　公用经费17.28万元，主要包括：办公费、水费、电费、邮电费、差旅费、公务接待费、工会经费、福利费、其他商品和服务支出等</w:t>
      </w:r>
      <w:r>
        <w:rPr>
          <w:rFonts w:eastAsia="仿宋"/>
          <w:sz w:val="32"/>
          <w:szCs w:val="32"/>
        </w:rPr>
        <w:t>。</w:t>
      </w:r>
    </w:p>
    <w:p w:rsidR="000579ED" w:rsidRDefault="00DD0D1D">
      <w:pPr>
        <w:spacing w:line="600" w:lineRule="exact"/>
        <w:ind w:firstLine="640"/>
        <w:outlineLvl w:val="1"/>
        <w:rPr>
          <w:rStyle w:val="2Char"/>
          <w:rFonts w:ascii="Times New Roman" w:eastAsia="黑体" w:hAnsi="Times New Roman" w:cs="Times New Roman"/>
          <w:b w:val="0"/>
        </w:rPr>
      </w:pPr>
      <w:bookmarkStart w:id="21" w:name="_Toc15396609"/>
      <w:bookmarkStart w:id="22" w:name="_Toc15377215"/>
      <w:r>
        <w:rPr>
          <w:rFonts w:eastAsia="黑体"/>
          <w:sz w:val="32"/>
          <w:szCs w:val="32"/>
        </w:rPr>
        <w:t>七、</w:t>
      </w:r>
      <w:r>
        <w:rPr>
          <w:rStyle w:val="2Char"/>
          <w:rFonts w:ascii="Times New Roman" w:eastAsia="黑体" w:hAnsi="Times New Roman" w:cs="Times New Roman"/>
          <w:b w:val="0"/>
        </w:rPr>
        <w:t>财政拨款</w:t>
      </w:r>
      <w:r>
        <w:rPr>
          <w:rStyle w:val="2Char"/>
          <w:rFonts w:ascii="Times New Roman" w:eastAsia="黑体" w:hAnsi="Times New Roman" w:cs="Times New Roman"/>
        </w:rPr>
        <w:t>“</w:t>
      </w:r>
      <w:r>
        <w:rPr>
          <w:rStyle w:val="2Char"/>
          <w:rFonts w:ascii="Times New Roman" w:eastAsia="黑体" w:hAnsi="Times New Roman" w:cs="Times New Roman"/>
          <w:b w:val="0"/>
        </w:rPr>
        <w:t>三公</w:t>
      </w:r>
      <w:r>
        <w:rPr>
          <w:rStyle w:val="2Char"/>
          <w:rFonts w:ascii="Times New Roman" w:eastAsia="黑体" w:hAnsi="Times New Roman" w:cs="Times New Roman"/>
          <w:b w:val="0"/>
        </w:rPr>
        <w:t>”</w:t>
      </w:r>
      <w:r>
        <w:rPr>
          <w:rStyle w:val="2Char"/>
          <w:rFonts w:ascii="Times New Roman" w:eastAsia="黑体" w:hAnsi="Times New Roman" w:cs="Times New Roman"/>
          <w:b w:val="0"/>
        </w:rPr>
        <w:t>经费支出决算情况说明</w:t>
      </w:r>
      <w:bookmarkEnd w:id="21"/>
      <w:bookmarkEnd w:id="22"/>
    </w:p>
    <w:p w:rsidR="000579ED" w:rsidRDefault="00DD0D1D">
      <w:pPr>
        <w:spacing w:line="600" w:lineRule="exact"/>
        <w:ind w:firstLine="640"/>
        <w:outlineLvl w:val="2"/>
        <w:rPr>
          <w:rFonts w:ascii="仿宋" w:eastAsia="仿宋" w:hAnsi="仿宋"/>
          <w:b/>
          <w:sz w:val="32"/>
          <w:szCs w:val="32"/>
        </w:rPr>
      </w:pPr>
      <w:r>
        <w:rPr>
          <w:rFonts w:ascii="仿宋" w:eastAsia="仿宋" w:hAnsi="仿宋" w:hint="eastAsia"/>
          <w:b/>
          <w:sz w:val="32"/>
          <w:szCs w:val="32"/>
        </w:rPr>
        <w:t>（一）“三公”经费财政拨款支出决算总体情况说明</w:t>
      </w:r>
    </w:p>
    <w:p w:rsidR="000579ED" w:rsidRDefault="00DD0D1D">
      <w:pPr>
        <w:spacing w:line="600" w:lineRule="exact"/>
        <w:ind w:firstLine="640"/>
        <w:rPr>
          <w:rFonts w:eastAsia="仿宋"/>
          <w:b/>
          <w:sz w:val="32"/>
          <w:szCs w:val="32"/>
        </w:rPr>
      </w:pPr>
      <w:r>
        <w:rPr>
          <w:rFonts w:ascii="仿宋" w:eastAsia="仿宋" w:hAnsi="仿宋" w:hint="eastAsia"/>
          <w:sz w:val="32"/>
          <w:szCs w:val="32"/>
        </w:rPr>
        <w:t>2023年度“三公”经费财政拨款支出决算为0.22万元，完成预算100</w:t>
      </w:r>
      <w:r>
        <w:rPr>
          <w:rFonts w:ascii="仿宋" w:eastAsia="仿宋" w:hAnsi="仿宋"/>
          <w:sz w:val="32"/>
          <w:szCs w:val="32"/>
        </w:rPr>
        <w:t>%</w:t>
      </w:r>
      <w:r>
        <w:rPr>
          <w:rFonts w:ascii="仿宋" w:eastAsia="仿宋" w:hAnsi="仿宋" w:hint="eastAsia"/>
          <w:sz w:val="32"/>
          <w:szCs w:val="32"/>
        </w:rPr>
        <w:t>，较上年度增加0.08万元，增长57%</w:t>
      </w:r>
      <w:r>
        <w:rPr>
          <w:rFonts w:eastAsia="仿宋"/>
          <w:sz w:val="32"/>
          <w:szCs w:val="32"/>
        </w:rPr>
        <w:t>。</w:t>
      </w:r>
    </w:p>
    <w:p w:rsidR="000579ED" w:rsidRDefault="00DD0D1D">
      <w:pPr>
        <w:spacing w:line="600" w:lineRule="exact"/>
        <w:ind w:firstLine="640"/>
        <w:outlineLvl w:val="2"/>
        <w:rPr>
          <w:rFonts w:ascii="仿宋" w:eastAsia="仿宋" w:hAnsi="仿宋"/>
          <w:b/>
          <w:sz w:val="32"/>
          <w:szCs w:val="32"/>
        </w:rPr>
      </w:pPr>
      <w:r>
        <w:rPr>
          <w:rFonts w:ascii="仿宋" w:eastAsia="仿宋" w:hAnsi="仿宋" w:hint="eastAsia"/>
          <w:b/>
          <w:sz w:val="32"/>
          <w:szCs w:val="32"/>
        </w:rPr>
        <w:t>（二）“三公”经费财政拨款支出决算具体情况说明</w:t>
      </w:r>
    </w:p>
    <w:p w:rsidR="000579ED" w:rsidRDefault="00DD0D1D">
      <w:pPr>
        <w:spacing w:line="600" w:lineRule="exact"/>
        <w:ind w:firstLine="640"/>
        <w:rPr>
          <w:rFonts w:eastAsia="仿宋"/>
          <w:sz w:val="32"/>
          <w:szCs w:val="32"/>
        </w:rPr>
      </w:pPr>
      <w:r>
        <w:rPr>
          <w:rFonts w:ascii="仿宋" w:eastAsia="仿宋" w:hAnsi="仿宋" w:hint="eastAsia"/>
          <w:sz w:val="32"/>
          <w:szCs w:val="32"/>
        </w:rPr>
        <w:t>2023年度“三公”经费财政拨款支出决算中，因公出国（境）费支出决算0万元，占0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；公务用车购置及运行维护费支出决算0万元，占</w:t>
      </w:r>
      <w:r w:rsidR="006706C6">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；公务接待费支出决算0.22万元，占100</w:t>
      </w:r>
      <w:r>
        <w:rPr>
          <w:rFonts w:ascii="仿宋" w:eastAsia="仿宋" w:hAnsi="仿宋"/>
          <w:sz w:val="32"/>
          <w:szCs w:val="32"/>
        </w:rPr>
        <w:t>%</w:t>
      </w:r>
      <w:r>
        <w:rPr>
          <w:rFonts w:ascii="仿宋" w:eastAsia="仿宋" w:hAnsi="仿宋" w:hint="eastAsia"/>
          <w:sz w:val="32"/>
          <w:szCs w:val="32"/>
        </w:rPr>
        <w:t>。具体情况如下</w:t>
      </w:r>
      <w:r>
        <w:rPr>
          <w:rFonts w:eastAsia="仿宋"/>
          <w:sz w:val="32"/>
          <w:szCs w:val="32"/>
        </w:rPr>
        <w:t>：</w:t>
      </w:r>
    </w:p>
    <w:p w:rsidR="000579ED" w:rsidRDefault="00DD0D1D">
      <w:pPr>
        <w:pStyle w:val="a0"/>
        <w:spacing w:before="93"/>
        <w:rPr>
          <w:rFonts w:ascii="Times New Roman"/>
        </w:rPr>
      </w:pPr>
      <w:r>
        <w:rPr>
          <w:rFonts w:ascii="Times New Roman"/>
          <w:noProof/>
        </w:rPr>
        <w:drawing>
          <wp:inline distT="0" distB="0" distL="0" distR="0">
            <wp:extent cx="5210175" cy="2952750"/>
            <wp:effectExtent l="19050" t="0" r="9525"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579ED" w:rsidRDefault="00DD0D1D">
      <w:pPr>
        <w:spacing w:line="600" w:lineRule="exact"/>
        <w:ind w:firstLine="640"/>
        <w:rPr>
          <w:rFonts w:ascii="仿宋_GB2312" w:eastAsia="仿宋_GB2312"/>
          <w:b/>
          <w:sz w:val="32"/>
          <w:szCs w:val="32"/>
        </w:rPr>
      </w:pPr>
      <w:r>
        <w:rPr>
          <w:rFonts w:ascii="仿宋_GB2312" w:eastAsia="仿宋_GB2312"/>
          <w:b/>
          <w:sz w:val="32"/>
          <w:szCs w:val="32"/>
        </w:rPr>
        <w:lastRenderedPageBreak/>
        <w:t>1.</w:t>
      </w:r>
      <w:r>
        <w:rPr>
          <w:rFonts w:ascii="仿宋_GB2312" w:eastAsia="仿宋_GB2312" w:hint="eastAsia"/>
          <w:b/>
          <w:sz w:val="32"/>
          <w:szCs w:val="32"/>
        </w:rPr>
        <w:t>因公出国（境）经费支出</w:t>
      </w:r>
      <w:r>
        <w:rPr>
          <w:rFonts w:ascii="仿宋_GB2312" w:eastAsia="仿宋_GB2312" w:hint="eastAsia"/>
          <w:sz w:val="32"/>
          <w:szCs w:val="32"/>
        </w:rPr>
        <w:t>0万元，</w:t>
      </w:r>
      <w:r>
        <w:rPr>
          <w:rStyle w:val="a8"/>
          <w:rFonts w:ascii="仿宋" w:eastAsia="仿宋" w:hAnsi="仿宋" w:hint="eastAsia"/>
          <w:b w:val="0"/>
          <w:bCs/>
          <w:sz w:val="32"/>
          <w:szCs w:val="32"/>
        </w:rPr>
        <w:t>完成预算0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全年安排因公出国（境）团组0次，出国（境）0人。因公出国（境）支出决算比2022年度增加0万元，增长0</w:t>
      </w:r>
      <w:r>
        <w:rPr>
          <w:rFonts w:ascii="仿宋_GB2312" w:eastAsia="仿宋_GB2312"/>
          <w:sz w:val="32"/>
          <w:szCs w:val="32"/>
        </w:rPr>
        <w:t>%</w:t>
      </w:r>
      <w:r>
        <w:rPr>
          <w:rFonts w:ascii="仿宋_GB2312" w:eastAsia="仿宋_GB2312" w:hint="eastAsia"/>
          <w:sz w:val="32"/>
          <w:szCs w:val="32"/>
        </w:rPr>
        <w:t>。</w:t>
      </w:r>
    </w:p>
    <w:p w:rsidR="000579ED" w:rsidRDefault="00DD0D1D">
      <w:pPr>
        <w:spacing w:line="600" w:lineRule="exact"/>
        <w:ind w:firstLine="640"/>
        <w:rPr>
          <w:rFonts w:ascii="仿宋_GB2312" w:eastAsia="仿宋_GB2312"/>
          <w:sz w:val="32"/>
          <w:szCs w:val="32"/>
        </w:rPr>
      </w:pPr>
      <w:r>
        <w:rPr>
          <w:rFonts w:ascii="仿宋_GB2312" w:eastAsia="仿宋_GB2312" w:hint="eastAsia"/>
          <w:sz w:val="32"/>
          <w:szCs w:val="32"/>
        </w:rPr>
        <w:t>开支内容包括：无。</w:t>
      </w:r>
    </w:p>
    <w:p w:rsidR="000579ED" w:rsidRDefault="00DD0D1D">
      <w:pPr>
        <w:ind w:firstLineChars="196" w:firstLine="630"/>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0万元,</w:t>
      </w:r>
      <w:r>
        <w:rPr>
          <w:rStyle w:val="a8"/>
          <w:rFonts w:ascii="仿宋" w:eastAsia="仿宋" w:hAnsi="仿宋" w:hint="eastAsia"/>
          <w:b w:val="0"/>
          <w:bCs/>
          <w:sz w:val="32"/>
          <w:szCs w:val="32"/>
        </w:rPr>
        <w:t>完成预算0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公务用车购置及运行维护费支出决算比2022年度增加0万元，增长0</w:t>
      </w:r>
      <w:r>
        <w:rPr>
          <w:rFonts w:ascii="仿宋_GB2312" w:eastAsia="仿宋_GB2312"/>
          <w:sz w:val="32"/>
          <w:szCs w:val="32"/>
        </w:rPr>
        <w:t>%</w:t>
      </w:r>
      <w:r>
        <w:rPr>
          <w:rFonts w:ascii="仿宋_GB2312" w:eastAsia="仿宋_GB2312" w:hint="eastAsia"/>
          <w:sz w:val="32"/>
          <w:szCs w:val="32"/>
        </w:rPr>
        <w:t>。主要原因是</w:t>
      </w:r>
      <w:r>
        <w:rPr>
          <w:rFonts w:eastAsia="仿宋_GB2312"/>
          <w:sz w:val="32"/>
          <w:szCs w:val="32"/>
        </w:rPr>
        <w:t>202</w:t>
      </w:r>
      <w:r>
        <w:rPr>
          <w:rFonts w:eastAsia="仿宋_GB2312" w:hint="eastAsia"/>
          <w:sz w:val="32"/>
          <w:szCs w:val="32"/>
        </w:rPr>
        <w:t>3</w:t>
      </w:r>
      <w:r>
        <w:rPr>
          <w:rFonts w:ascii="仿宋_GB2312" w:eastAsia="仿宋_GB2312"/>
          <w:sz w:val="32"/>
          <w:szCs w:val="32"/>
        </w:rPr>
        <w:t>年我单位无公务用车</w:t>
      </w:r>
      <w:r>
        <w:rPr>
          <w:rFonts w:ascii="仿宋_GB2312" w:eastAsia="仿宋_GB2312" w:hint="eastAsia"/>
          <w:sz w:val="32"/>
          <w:szCs w:val="32"/>
        </w:rPr>
        <w:t>。</w:t>
      </w:r>
    </w:p>
    <w:p w:rsidR="000579ED" w:rsidRDefault="00DD0D1D">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0万元。全年按规定更新购置公务用车0辆，其中：轿车0辆、金额0万元，越野车</w:t>
      </w:r>
      <w:r>
        <w:rPr>
          <w:rFonts w:ascii="仿宋_GB2312" w:eastAsia="仿宋_GB2312"/>
          <w:sz w:val="32"/>
          <w:szCs w:val="32"/>
        </w:rPr>
        <w:t>0</w:t>
      </w:r>
      <w:r>
        <w:rPr>
          <w:rFonts w:ascii="仿宋_GB2312" w:eastAsia="仿宋_GB2312" w:hint="eastAsia"/>
          <w:sz w:val="32"/>
          <w:szCs w:val="32"/>
        </w:rPr>
        <w:t>辆、金额</w:t>
      </w:r>
      <w:r>
        <w:rPr>
          <w:rFonts w:ascii="仿宋_GB2312" w:eastAsia="仿宋_GB2312"/>
          <w:sz w:val="32"/>
          <w:szCs w:val="32"/>
        </w:rPr>
        <w:t>0</w:t>
      </w:r>
      <w:r>
        <w:rPr>
          <w:rFonts w:ascii="仿宋_GB2312" w:eastAsia="仿宋_GB2312" w:hint="eastAsia"/>
          <w:sz w:val="32"/>
          <w:szCs w:val="32"/>
        </w:rPr>
        <w:t>万元，载客汽车</w:t>
      </w:r>
      <w:r>
        <w:rPr>
          <w:rFonts w:ascii="仿宋_GB2312" w:eastAsia="仿宋_GB2312"/>
          <w:sz w:val="32"/>
          <w:szCs w:val="32"/>
        </w:rPr>
        <w:t>0</w:t>
      </w:r>
      <w:r>
        <w:rPr>
          <w:rFonts w:ascii="仿宋_GB2312" w:eastAsia="仿宋_GB2312" w:hint="eastAsia"/>
          <w:sz w:val="32"/>
          <w:szCs w:val="32"/>
        </w:rPr>
        <w:t>辆、金额</w:t>
      </w:r>
      <w:r>
        <w:rPr>
          <w:rFonts w:ascii="仿宋_GB2312" w:eastAsia="仿宋_GB2312"/>
          <w:sz w:val="32"/>
          <w:szCs w:val="32"/>
        </w:rPr>
        <w:t>0</w:t>
      </w:r>
      <w:r>
        <w:rPr>
          <w:rFonts w:ascii="仿宋_GB2312" w:eastAsia="仿宋_GB2312" w:hint="eastAsia"/>
          <w:sz w:val="32"/>
          <w:szCs w:val="32"/>
        </w:rPr>
        <w:t>万元。截至2023年</w:t>
      </w:r>
      <w:r>
        <w:rPr>
          <w:rFonts w:ascii="仿宋_GB2312" w:eastAsia="仿宋_GB2312"/>
          <w:sz w:val="32"/>
          <w:szCs w:val="32"/>
        </w:rPr>
        <w:t>12</w:t>
      </w:r>
      <w:r>
        <w:rPr>
          <w:rFonts w:ascii="仿宋_GB2312" w:eastAsia="仿宋_GB2312" w:hint="eastAsia"/>
          <w:sz w:val="32"/>
          <w:szCs w:val="32"/>
        </w:rPr>
        <w:t>月31日，单位共有公务用车</w:t>
      </w:r>
      <w:r>
        <w:rPr>
          <w:rFonts w:ascii="仿宋_GB2312" w:eastAsia="仿宋_GB2312"/>
          <w:sz w:val="32"/>
          <w:szCs w:val="32"/>
        </w:rPr>
        <w:t>0</w:t>
      </w:r>
      <w:r>
        <w:rPr>
          <w:rFonts w:ascii="仿宋_GB2312" w:eastAsia="仿宋_GB2312" w:hint="eastAsia"/>
          <w:sz w:val="32"/>
          <w:szCs w:val="32"/>
        </w:rPr>
        <w:t>辆，其中：轿车</w:t>
      </w:r>
      <w:r>
        <w:rPr>
          <w:rFonts w:ascii="仿宋_GB2312" w:eastAsia="仿宋_GB2312"/>
          <w:sz w:val="32"/>
          <w:szCs w:val="32"/>
        </w:rPr>
        <w:t>0</w:t>
      </w:r>
      <w:r>
        <w:rPr>
          <w:rFonts w:ascii="仿宋_GB2312" w:eastAsia="仿宋_GB2312" w:hint="eastAsia"/>
          <w:sz w:val="32"/>
          <w:szCs w:val="32"/>
        </w:rPr>
        <w:t>辆、越野车</w:t>
      </w:r>
      <w:r>
        <w:rPr>
          <w:rFonts w:ascii="仿宋_GB2312" w:eastAsia="仿宋_GB2312"/>
          <w:sz w:val="32"/>
          <w:szCs w:val="32"/>
        </w:rPr>
        <w:t>0</w:t>
      </w:r>
      <w:r>
        <w:rPr>
          <w:rFonts w:ascii="仿宋_GB2312" w:eastAsia="仿宋_GB2312" w:hint="eastAsia"/>
          <w:sz w:val="32"/>
          <w:szCs w:val="32"/>
        </w:rPr>
        <w:t>辆、载客汽车</w:t>
      </w:r>
      <w:r>
        <w:rPr>
          <w:rFonts w:ascii="仿宋_GB2312" w:eastAsia="仿宋_GB2312"/>
          <w:sz w:val="32"/>
          <w:szCs w:val="32"/>
        </w:rPr>
        <w:t>0</w:t>
      </w:r>
      <w:r>
        <w:rPr>
          <w:rFonts w:ascii="仿宋_GB2312" w:eastAsia="仿宋_GB2312" w:hint="eastAsia"/>
          <w:sz w:val="32"/>
          <w:szCs w:val="32"/>
        </w:rPr>
        <w:t>辆。</w:t>
      </w:r>
    </w:p>
    <w:p w:rsidR="000579ED" w:rsidRDefault="00DD0D1D">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0万元。</w:t>
      </w:r>
    </w:p>
    <w:p w:rsidR="000579ED" w:rsidRDefault="00DD0D1D">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0.22万元，</w:t>
      </w:r>
      <w:r>
        <w:rPr>
          <w:rStyle w:val="a8"/>
          <w:rFonts w:ascii="仿宋" w:eastAsia="仿宋" w:hAnsi="仿宋" w:hint="eastAsia"/>
          <w:b w:val="0"/>
          <w:bCs/>
          <w:sz w:val="32"/>
          <w:szCs w:val="32"/>
        </w:rPr>
        <w:t>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公务接待费支出决算比2022年度增加0.08万元，增长57</w:t>
      </w:r>
      <w:r>
        <w:rPr>
          <w:rFonts w:ascii="仿宋_GB2312" w:eastAsia="仿宋_GB2312"/>
          <w:sz w:val="32"/>
          <w:szCs w:val="32"/>
        </w:rPr>
        <w:t>%</w:t>
      </w:r>
      <w:r>
        <w:rPr>
          <w:rFonts w:ascii="仿宋_GB2312" w:eastAsia="仿宋_GB2312" w:hint="eastAsia"/>
          <w:sz w:val="32"/>
          <w:szCs w:val="32"/>
        </w:rPr>
        <w:t>。主要原因是疫情结束后，2023年各项检查增加，公务接待人数增加。其中：</w:t>
      </w:r>
    </w:p>
    <w:p w:rsidR="000579ED" w:rsidRDefault="00DD0D1D">
      <w:pPr>
        <w:ind w:firstLineChars="196" w:firstLine="630"/>
      </w:pPr>
      <w:r>
        <w:rPr>
          <w:rFonts w:ascii="仿宋" w:eastAsia="仿宋" w:hAnsi="仿宋" w:hint="eastAsia"/>
          <w:b/>
          <w:sz w:val="32"/>
          <w:szCs w:val="32"/>
        </w:rPr>
        <w:t>国内公务接待支出</w:t>
      </w:r>
      <w:r>
        <w:rPr>
          <w:rFonts w:ascii="仿宋" w:eastAsia="仿宋" w:hAnsi="仿宋" w:hint="eastAsia"/>
          <w:sz w:val="32"/>
          <w:szCs w:val="32"/>
        </w:rPr>
        <w:t>0.22</w:t>
      </w:r>
      <w:r>
        <w:rPr>
          <w:rFonts w:ascii="仿宋_GB2312" w:eastAsia="仿宋_GB2312" w:hint="eastAsia"/>
          <w:sz w:val="32"/>
          <w:szCs w:val="32"/>
        </w:rPr>
        <w:t>万元，主要用于</w:t>
      </w:r>
      <w:r>
        <w:rPr>
          <w:rFonts w:ascii="仿宋_GB2312" w:eastAsia="仿宋_GB2312"/>
          <w:color w:val="000000"/>
          <w:sz w:val="32"/>
          <w:szCs w:val="32"/>
        </w:rPr>
        <w:t>二滩国家森林公园</w:t>
      </w:r>
      <w:r>
        <w:rPr>
          <w:rFonts w:ascii="仿宋_GB2312" w:eastAsia="仿宋_GB2312" w:hint="eastAsia"/>
          <w:color w:val="000000"/>
          <w:sz w:val="32"/>
          <w:szCs w:val="32"/>
        </w:rPr>
        <w:t>森林生态检测及景观规划、生态保护、森林草原防火、生态旅游开发工作等公务活动用餐费。</w:t>
      </w:r>
      <w:r>
        <w:rPr>
          <w:rFonts w:ascii="仿宋_GB2312" w:eastAsia="仿宋_GB2312" w:hint="eastAsia"/>
          <w:sz w:val="32"/>
          <w:szCs w:val="32"/>
        </w:rPr>
        <w:t>国内公务接待2批次，13人次（不包括陪同人员），共计支出0.22万元，具体内容包括：1.</w:t>
      </w:r>
      <w:r>
        <w:rPr>
          <w:rFonts w:ascii="仿宋_GB2312" w:eastAsia="仿宋_GB2312"/>
          <w:color w:val="000000"/>
          <w:sz w:val="32"/>
          <w:szCs w:val="32"/>
        </w:rPr>
        <w:t xml:space="preserve"> 二滩国家森林公园</w:t>
      </w:r>
      <w:r>
        <w:rPr>
          <w:rFonts w:ascii="仿宋_GB2312" w:eastAsia="仿宋_GB2312" w:hint="eastAsia"/>
          <w:color w:val="000000"/>
          <w:sz w:val="32"/>
          <w:szCs w:val="32"/>
        </w:rPr>
        <w:t>森林生态检测及景观规划工作，接待人数5人，金额0.13万元；2.</w:t>
      </w:r>
      <w:r>
        <w:rPr>
          <w:rFonts w:ascii="仿宋_GB2312" w:eastAsia="仿宋_GB2312"/>
          <w:color w:val="000000"/>
          <w:sz w:val="32"/>
          <w:szCs w:val="32"/>
        </w:rPr>
        <w:t xml:space="preserve"> 二滩国家森林公园</w:t>
      </w:r>
      <w:r>
        <w:rPr>
          <w:rFonts w:ascii="仿宋_GB2312" w:eastAsia="仿宋_GB2312" w:hint="eastAsia"/>
          <w:color w:val="000000"/>
          <w:sz w:val="32"/>
          <w:szCs w:val="32"/>
        </w:rPr>
        <w:t>生态</w:t>
      </w:r>
      <w:r>
        <w:rPr>
          <w:rFonts w:ascii="仿宋_GB2312" w:eastAsia="仿宋_GB2312" w:hint="eastAsia"/>
          <w:color w:val="000000"/>
          <w:sz w:val="32"/>
          <w:szCs w:val="32"/>
        </w:rPr>
        <w:lastRenderedPageBreak/>
        <w:t>保护、森林草原防火、生态旅游开发工作，接待人数8人，金额0.09万元</w:t>
      </w:r>
      <w:r>
        <w:rPr>
          <w:rFonts w:ascii="仿宋_GB2312" w:eastAsia="仿宋_GB2312" w:hint="eastAsia"/>
          <w:sz w:val="32"/>
          <w:szCs w:val="32"/>
        </w:rPr>
        <w:t>。</w:t>
      </w:r>
    </w:p>
    <w:p w:rsidR="000579ED" w:rsidRDefault="00DD0D1D">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万元。外事接待0批次，0人次（不包括陪同人员），共计支出0万元。</w:t>
      </w:r>
    </w:p>
    <w:p w:rsidR="000579ED" w:rsidRDefault="00DD0D1D">
      <w:pPr>
        <w:spacing w:line="600" w:lineRule="exact"/>
        <w:ind w:firstLine="640"/>
        <w:outlineLvl w:val="1"/>
        <w:rPr>
          <w:rStyle w:val="2Char"/>
          <w:rFonts w:ascii="黑体" w:eastAsia="黑体" w:hAnsi="黑体" w:cs="Times New Roman"/>
        </w:rPr>
      </w:pPr>
      <w:r>
        <w:rPr>
          <w:rFonts w:ascii="黑体" w:eastAsia="黑体" w:hint="eastAsia"/>
          <w:sz w:val="32"/>
          <w:szCs w:val="32"/>
        </w:rPr>
        <w:t>八、</w:t>
      </w:r>
      <w:r>
        <w:rPr>
          <w:rStyle w:val="2Char"/>
          <w:rFonts w:ascii="黑体" w:eastAsia="黑体" w:hAnsi="黑体" w:cs="Times New Roman" w:hint="eastAsia"/>
          <w:b w:val="0"/>
        </w:rPr>
        <w:t>政府性基金预算支出决算情况说明</w:t>
      </w:r>
    </w:p>
    <w:p w:rsidR="000579ED" w:rsidRDefault="00DD0D1D">
      <w:pPr>
        <w:spacing w:line="600" w:lineRule="exact"/>
        <w:ind w:firstLine="640"/>
        <w:rPr>
          <w:rFonts w:ascii="仿宋_GB2312" w:eastAsia="仿宋_GB2312"/>
          <w:sz w:val="32"/>
          <w:szCs w:val="32"/>
        </w:rPr>
      </w:pPr>
      <w:r>
        <w:rPr>
          <w:rFonts w:ascii="仿宋_GB2312" w:eastAsia="仿宋_GB2312" w:hint="eastAsia"/>
          <w:sz w:val="32"/>
          <w:szCs w:val="32"/>
        </w:rPr>
        <w:t>2023年度政府性基金预算财政拨款支出0万元。</w:t>
      </w:r>
    </w:p>
    <w:p w:rsidR="000579ED" w:rsidRDefault="00DD0D1D">
      <w:pPr>
        <w:spacing w:line="600" w:lineRule="exact"/>
        <w:ind w:firstLineChars="200" w:firstLine="640"/>
        <w:outlineLvl w:val="1"/>
        <w:rPr>
          <w:rStyle w:val="2Char"/>
          <w:rFonts w:ascii="黑体" w:eastAsia="黑体" w:hAnsi="黑体" w:cs="Times New Roman"/>
          <w:b w:val="0"/>
        </w:rPr>
      </w:pPr>
      <w:r>
        <w:rPr>
          <w:rStyle w:val="2Char"/>
          <w:rFonts w:ascii="黑体" w:eastAsia="黑体" w:hAnsi="黑体" w:cs="Times New Roman" w:hint="eastAsia"/>
          <w:b w:val="0"/>
        </w:rPr>
        <w:t>九、国有资本经营预算支出决算情况说明</w:t>
      </w:r>
    </w:p>
    <w:p w:rsidR="000579ED" w:rsidRDefault="00DD0D1D">
      <w:pPr>
        <w:spacing w:line="600" w:lineRule="exact"/>
        <w:ind w:firstLine="640"/>
        <w:rPr>
          <w:rFonts w:ascii="仿宋_GB2312" w:eastAsia="仿宋_GB2312"/>
          <w:sz w:val="32"/>
          <w:szCs w:val="32"/>
        </w:rPr>
      </w:pPr>
      <w:r>
        <w:rPr>
          <w:rFonts w:ascii="仿宋_GB2312" w:eastAsia="仿宋_GB2312" w:hint="eastAsia"/>
          <w:sz w:val="32"/>
          <w:szCs w:val="32"/>
        </w:rPr>
        <w:t>2023年度国有资本经营预算财政拨款支出0万元。</w:t>
      </w:r>
    </w:p>
    <w:p w:rsidR="000579ED" w:rsidRDefault="00DD0D1D">
      <w:pPr>
        <w:spacing w:line="600" w:lineRule="exact"/>
        <w:ind w:firstLineChars="200" w:firstLine="640"/>
        <w:outlineLvl w:val="1"/>
        <w:rPr>
          <w:rStyle w:val="2Char"/>
          <w:rFonts w:ascii="黑体" w:eastAsia="黑体" w:hAnsi="黑体" w:cs="Times New Roman"/>
          <w:b w:val="0"/>
        </w:rPr>
      </w:pPr>
      <w:r>
        <w:rPr>
          <w:rStyle w:val="2Char"/>
          <w:rFonts w:ascii="黑体" w:eastAsia="黑体" w:hAnsi="黑体" w:cs="Times New Roman" w:hint="eastAsia"/>
          <w:b w:val="0"/>
        </w:rPr>
        <w:t>十、其他重要事项的情况说明</w:t>
      </w:r>
    </w:p>
    <w:p w:rsidR="000579ED" w:rsidRDefault="00DD0D1D">
      <w:pPr>
        <w:spacing w:line="600" w:lineRule="exact"/>
        <w:ind w:firstLineChars="200" w:firstLine="643"/>
        <w:outlineLvl w:val="2"/>
        <w:rPr>
          <w:rFonts w:ascii="仿宋" w:eastAsia="仿宋" w:hAnsi="仿宋"/>
          <w:sz w:val="32"/>
          <w:szCs w:val="32"/>
        </w:rPr>
      </w:pPr>
      <w:r>
        <w:rPr>
          <w:rFonts w:ascii="仿宋" w:eastAsia="仿宋" w:hAnsi="仿宋" w:hint="eastAsia"/>
          <w:b/>
          <w:sz w:val="32"/>
          <w:szCs w:val="32"/>
        </w:rPr>
        <w:t>（一）机关运行经费支出情况</w:t>
      </w:r>
    </w:p>
    <w:p w:rsidR="000579ED" w:rsidRDefault="00DD0D1D">
      <w:pPr>
        <w:ind w:firstLineChars="200" w:firstLine="640"/>
      </w:pPr>
      <w:r>
        <w:rPr>
          <w:rFonts w:ascii="仿宋_GB2312" w:eastAsia="仿宋_GB2312" w:hint="eastAsia"/>
          <w:sz w:val="32"/>
          <w:szCs w:val="32"/>
        </w:rPr>
        <w:t>2023年度，</w:t>
      </w:r>
      <w:r>
        <w:rPr>
          <w:rFonts w:ascii="仿宋_GB2312" w:eastAsia="仿宋_GB2312"/>
          <w:sz w:val="32"/>
          <w:szCs w:val="32"/>
        </w:rPr>
        <w:t>攀枝花市二滩国家森林公园保护中心（攀枝花市二滩风景名胜区保护中心）</w:t>
      </w:r>
      <w:r>
        <w:rPr>
          <w:rFonts w:ascii="仿宋_GB2312" w:eastAsia="仿宋_GB2312" w:hint="eastAsia"/>
          <w:sz w:val="32"/>
          <w:szCs w:val="32"/>
        </w:rPr>
        <w:t>机关运行经费支出17.28万元，比2022年度增加0.24万元，增长0.14</w:t>
      </w:r>
      <w:r>
        <w:rPr>
          <w:rFonts w:ascii="仿宋_GB2312" w:eastAsia="仿宋_GB2312"/>
          <w:sz w:val="32"/>
          <w:szCs w:val="32"/>
        </w:rPr>
        <w:t>%</w:t>
      </w:r>
      <w:r>
        <w:rPr>
          <w:rFonts w:ascii="仿宋_GB2312" w:eastAsia="仿宋_GB2312" w:hint="eastAsia"/>
          <w:sz w:val="32"/>
          <w:szCs w:val="32"/>
        </w:rPr>
        <w:t>（与2022年度决算数基本持平）。</w:t>
      </w:r>
    </w:p>
    <w:p w:rsidR="000579ED" w:rsidRDefault="00DD0D1D">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（二）政府采购支出情况</w:t>
      </w:r>
    </w:p>
    <w:p w:rsidR="000579ED" w:rsidRDefault="00DD0D1D">
      <w:pPr>
        <w:ind w:firstLineChars="200" w:firstLine="640"/>
      </w:pPr>
      <w:r>
        <w:rPr>
          <w:rFonts w:ascii="仿宋_GB2312" w:eastAsia="仿宋_GB2312" w:hint="eastAsia"/>
          <w:sz w:val="32"/>
          <w:szCs w:val="32"/>
        </w:rPr>
        <w:t>2023年度，</w:t>
      </w:r>
      <w:r>
        <w:rPr>
          <w:rFonts w:ascii="仿宋_GB2312" w:eastAsia="仿宋_GB2312"/>
          <w:sz w:val="32"/>
          <w:szCs w:val="32"/>
        </w:rPr>
        <w:t>攀枝花市二滩国家森林公园保护中心（攀枝花市二滩风景名胜区保护中心）</w:t>
      </w:r>
      <w:r>
        <w:rPr>
          <w:rFonts w:ascii="仿宋_GB2312" w:eastAsia="仿宋_GB2312" w:hint="eastAsia"/>
          <w:sz w:val="32"/>
          <w:szCs w:val="32"/>
        </w:rPr>
        <w:t>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ascii="仿宋_GB2312" w:eastAsia="仿宋_GB2312" w:hint="eastAsia"/>
          <w:sz w:val="32"/>
          <w:szCs w:val="32"/>
        </w:rPr>
        <w:t>，其中：授予小微企业合同金额0万元，占政府采购支出总额的0</w:t>
      </w:r>
      <w:r>
        <w:rPr>
          <w:rFonts w:ascii="仿宋_GB2312" w:eastAsia="仿宋_GB2312"/>
          <w:sz w:val="32"/>
          <w:szCs w:val="32"/>
        </w:rPr>
        <w:t>%</w:t>
      </w:r>
      <w:r>
        <w:rPr>
          <w:rFonts w:ascii="仿宋_GB2312" w:eastAsia="仿宋_GB2312" w:hint="eastAsia"/>
          <w:sz w:val="32"/>
          <w:szCs w:val="32"/>
        </w:rPr>
        <w:t>。</w:t>
      </w:r>
    </w:p>
    <w:p w:rsidR="000579ED" w:rsidRDefault="00DD0D1D">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（三）国有资产占有使用情况</w:t>
      </w:r>
    </w:p>
    <w:p w:rsidR="000579ED" w:rsidRDefault="00DD0D1D">
      <w:r>
        <w:rPr>
          <w:rFonts w:ascii="仿宋_GB2312" w:eastAsia="仿宋_GB2312" w:hint="eastAsia"/>
          <w:sz w:val="32"/>
          <w:szCs w:val="32"/>
        </w:rPr>
        <w:lastRenderedPageBreak/>
        <w:t>截至2023年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ascii="仿宋_GB2312" w:eastAsia="仿宋_GB2312"/>
          <w:sz w:val="32"/>
          <w:szCs w:val="32"/>
        </w:rPr>
        <w:t>攀枝花市二滩国家森林公园保护中心（攀枝花市二滩风景名胜区保护中心）</w:t>
      </w:r>
      <w:r>
        <w:rPr>
          <w:rFonts w:ascii="仿宋_GB2312" w:eastAsia="仿宋_GB2312" w:hint="eastAsia"/>
          <w:sz w:val="32"/>
          <w:szCs w:val="32"/>
        </w:rPr>
        <w:t>共有车辆0辆，其中：主要领导干部用车0辆、机要通信用车0辆、应急保障用车0辆、其他用车0辆。单价</w:t>
      </w:r>
      <w:r>
        <w:rPr>
          <w:rFonts w:ascii="仿宋_GB2312" w:eastAsia="仿宋_GB2312"/>
          <w:sz w:val="32"/>
          <w:szCs w:val="32"/>
        </w:rPr>
        <w:t>50</w:t>
      </w:r>
      <w:r>
        <w:rPr>
          <w:rFonts w:ascii="仿宋_GB2312" w:eastAsia="仿宋_GB2312" w:hint="eastAsia"/>
          <w:sz w:val="32"/>
          <w:szCs w:val="32"/>
        </w:rPr>
        <w:t>万元以上通用设备0台（套），单价</w:t>
      </w:r>
      <w:r>
        <w:rPr>
          <w:rFonts w:ascii="仿宋_GB2312" w:eastAsia="仿宋_GB2312"/>
          <w:sz w:val="32"/>
          <w:szCs w:val="32"/>
        </w:rPr>
        <w:t>100</w:t>
      </w:r>
      <w:r>
        <w:rPr>
          <w:rFonts w:ascii="仿宋_GB2312" w:eastAsia="仿宋_GB2312" w:hint="eastAsia"/>
          <w:sz w:val="32"/>
          <w:szCs w:val="32"/>
        </w:rPr>
        <w:t>万元以上专用设备（不含车辆）0台（套）。</w:t>
      </w:r>
    </w:p>
    <w:p w:rsidR="000579ED" w:rsidRDefault="00DD0D1D">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0579ED" w:rsidRDefault="00DD0D1D" w:rsidP="006706C6">
      <w:pPr>
        <w:autoSpaceDE w:val="0"/>
        <w:autoSpaceDN w:val="0"/>
        <w:adjustRightInd w:val="0"/>
        <w:spacing w:line="600" w:lineRule="exact"/>
        <w:ind w:firstLineChars="200" w:firstLine="640"/>
        <w:rPr>
          <w:rFonts w:ascii="仿宋_GB2312" w:eastAsia="仿宋_GB2312"/>
          <w:sz w:val="32"/>
          <w:szCs w:val="32"/>
        </w:rPr>
      </w:pPr>
      <w:r>
        <w:rPr>
          <w:rFonts w:ascii="仿宋_GB2312" w:eastAsia="仿宋_GB2312" w:hint="eastAsia"/>
          <w:sz w:val="32"/>
          <w:szCs w:val="32"/>
        </w:rPr>
        <w:t>根据预算绩效管理要求，本单位在2023年度预算编制阶段，组织对1项目</w:t>
      </w:r>
      <w:r>
        <w:rPr>
          <w:rFonts w:eastAsia="仿宋_GB2312"/>
          <w:sz w:val="32"/>
          <w:szCs w:val="32"/>
        </w:rPr>
        <w:t>202</w:t>
      </w:r>
      <w:r>
        <w:rPr>
          <w:rFonts w:eastAsia="仿宋_GB2312" w:hint="eastAsia"/>
          <w:sz w:val="32"/>
          <w:szCs w:val="32"/>
        </w:rPr>
        <w:t>3</w:t>
      </w:r>
      <w:r>
        <w:rPr>
          <w:rFonts w:ascii="仿宋_GB2312" w:eastAsia="仿宋_GB2312"/>
          <w:sz w:val="32"/>
          <w:szCs w:val="32"/>
        </w:rPr>
        <w:t>年度国家重点生态功能区转移支付</w:t>
      </w:r>
      <w:r>
        <w:rPr>
          <w:rFonts w:ascii="仿宋_GB2312" w:eastAsia="仿宋_GB2312" w:hint="eastAsia"/>
          <w:sz w:val="32"/>
          <w:szCs w:val="32"/>
        </w:rPr>
        <w:t>资金等1个项目开展了预算事前绩效评估，对1个项目编制了绩效目标，预算执行过程中，选取1个项目开展绩效监控，组织对</w:t>
      </w:r>
      <w:r w:rsidR="00D32545">
        <w:rPr>
          <w:rFonts w:ascii="仿宋_GB2312" w:eastAsia="仿宋_GB2312" w:hint="eastAsia"/>
          <w:sz w:val="32"/>
          <w:szCs w:val="32"/>
        </w:rPr>
        <w:t>1</w:t>
      </w:r>
      <w:r>
        <w:rPr>
          <w:rFonts w:ascii="仿宋_GB2312" w:eastAsia="仿宋_GB2312" w:hint="eastAsia"/>
          <w:sz w:val="32"/>
          <w:szCs w:val="32"/>
        </w:rPr>
        <w:t>个项目开展绩效自评，绩效自评表详见第四部分附件</w:t>
      </w:r>
      <w:r>
        <w:rPr>
          <w:rFonts w:eastAsia="仿宋_GB2312"/>
          <w:sz w:val="32"/>
          <w:szCs w:val="32"/>
        </w:rPr>
        <w:t>。</w:t>
      </w:r>
    </w:p>
    <w:p w:rsidR="000579ED" w:rsidRDefault="000579ED">
      <w:pPr>
        <w:spacing w:line="600" w:lineRule="exact"/>
        <w:ind w:left="660"/>
        <w:jc w:val="center"/>
        <w:outlineLvl w:val="0"/>
        <w:rPr>
          <w:rFonts w:eastAsia="黑体"/>
          <w:sz w:val="44"/>
          <w:szCs w:val="44"/>
        </w:rPr>
      </w:pPr>
      <w:bookmarkStart w:id="23" w:name="_Toc15377225"/>
      <w:bookmarkStart w:id="24" w:name="_Toc15396613"/>
    </w:p>
    <w:p w:rsidR="000579ED" w:rsidRPr="00D32545" w:rsidRDefault="000579ED">
      <w:pPr>
        <w:spacing w:line="600" w:lineRule="exact"/>
        <w:ind w:left="660"/>
        <w:jc w:val="center"/>
        <w:outlineLvl w:val="0"/>
        <w:rPr>
          <w:rFonts w:eastAsia="黑体"/>
          <w:sz w:val="44"/>
          <w:szCs w:val="44"/>
        </w:rPr>
      </w:pPr>
    </w:p>
    <w:p w:rsidR="000579ED" w:rsidRDefault="000579ED">
      <w:pPr>
        <w:spacing w:line="600" w:lineRule="exact"/>
        <w:ind w:left="660"/>
        <w:jc w:val="center"/>
        <w:outlineLvl w:val="0"/>
        <w:rPr>
          <w:rFonts w:eastAsia="黑体"/>
          <w:sz w:val="44"/>
          <w:szCs w:val="44"/>
        </w:rPr>
      </w:pPr>
    </w:p>
    <w:p w:rsidR="000579ED" w:rsidRDefault="000579ED">
      <w:pPr>
        <w:spacing w:line="600" w:lineRule="exact"/>
        <w:ind w:left="660"/>
        <w:jc w:val="center"/>
        <w:outlineLvl w:val="0"/>
        <w:rPr>
          <w:rFonts w:eastAsia="黑体"/>
          <w:sz w:val="44"/>
          <w:szCs w:val="44"/>
        </w:rPr>
      </w:pPr>
    </w:p>
    <w:p w:rsidR="000579ED" w:rsidRDefault="000579ED">
      <w:pPr>
        <w:spacing w:line="600" w:lineRule="exact"/>
        <w:ind w:left="660"/>
        <w:jc w:val="center"/>
        <w:outlineLvl w:val="0"/>
        <w:rPr>
          <w:rFonts w:eastAsia="黑体"/>
          <w:sz w:val="44"/>
          <w:szCs w:val="44"/>
        </w:rPr>
      </w:pPr>
      <w:bookmarkStart w:id="25" w:name="_GoBack"/>
      <w:bookmarkEnd w:id="25"/>
    </w:p>
    <w:p w:rsidR="000579ED" w:rsidRDefault="000579ED">
      <w:pPr>
        <w:spacing w:line="600" w:lineRule="exact"/>
        <w:ind w:left="660"/>
        <w:jc w:val="center"/>
        <w:outlineLvl w:val="0"/>
        <w:rPr>
          <w:rFonts w:eastAsia="黑体"/>
          <w:sz w:val="44"/>
          <w:szCs w:val="44"/>
        </w:rPr>
      </w:pPr>
    </w:p>
    <w:p w:rsidR="000579ED" w:rsidRDefault="000579ED">
      <w:pPr>
        <w:spacing w:line="600" w:lineRule="exact"/>
        <w:ind w:left="660"/>
        <w:jc w:val="center"/>
        <w:outlineLvl w:val="0"/>
        <w:rPr>
          <w:rFonts w:eastAsia="黑体"/>
          <w:sz w:val="44"/>
          <w:szCs w:val="44"/>
        </w:rPr>
      </w:pPr>
    </w:p>
    <w:p w:rsidR="000579ED" w:rsidRDefault="000579ED">
      <w:pPr>
        <w:spacing w:line="600" w:lineRule="exact"/>
        <w:ind w:left="660"/>
        <w:jc w:val="center"/>
        <w:outlineLvl w:val="0"/>
        <w:rPr>
          <w:rFonts w:eastAsia="黑体"/>
          <w:sz w:val="44"/>
          <w:szCs w:val="44"/>
        </w:rPr>
      </w:pPr>
    </w:p>
    <w:p w:rsidR="000579ED" w:rsidRDefault="000579ED">
      <w:pPr>
        <w:spacing w:line="600" w:lineRule="exact"/>
        <w:ind w:left="660"/>
        <w:jc w:val="center"/>
        <w:outlineLvl w:val="0"/>
        <w:rPr>
          <w:rFonts w:eastAsia="黑体"/>
          <w:sz w:val="44"/>
          <w:szCs w:val="44"/>
        </w:rPr>
      </w:pPr>
    </w:p>
    <w:p w:rsidR="000579ED" w:rsidRDefault="000579ED">
      <w:pPr>
        <w:spacing w:line="600" w:lineRule="exact"/>
        <w:ind w:left="660"/>
        <w:jc w:val="center"/>
        <w:outlineLvl w:val="0"/>
        <w:rPr>
          <w:rFonts w:eastAsia="黑体"/>
          <w:sz w:val="44"/>
          <w:szCs w:val="44"/>
        </w:rPr>
      </w:pPr>
    </w:p>
    <w:p w:rsidR="000579ED" w:rsidRDefault="000579ED">
      <w:pPr>
        <w:spacing w:line="600" w:lineRule="exact"/>
        <w:ind w:left="660"/>
        <w:jc w:val="center"/>
        <w:outlineLvl w:val="0"/>
        <w:rPr>
          <w:rFonts w:eastAsia="黑体"/>
          <w:sz w:val="44"/>
          <w:szCs w:val="44"/>
        </w:rPr>
      </w:pPr>
    </w:p>
    <w:p w:rsidR="000579ED" w:rsidRDefault="000579ED">
      <w:pPr>
        <w:spacing w:line="600" w:lineRule="exact"/>
        <w:ind w:left="660"/>
        <w:jc w:val="center"/>
        <w:outlineLvl w:val="0"/>
        <w:rPr>
          <w:rFonts w:eastAsia="黑体"/>
          <w:sz w:val="44"/>
          <w:szCs w:val="44"/>
        </w:rPr>
      </w:pPr>
    </w:p>
    <w:p w:rsidR="000579ED" w:rsidRDefault="00DD0D1D">
      <w:pPr>
        <w:spacing w:line="600" w:lineRule="exact"/>
        <w:ind w:left="660"/>
        <w:jc w:val="center"/>
        <w:outlineLvl w:val="0"/>
        <w:rPr>
          <w:rStyle w:val="1Char"/>
          <w:rFonts w:eastAsia="黑体"/>
          <w:b w:val="0"/>
        </w:rPr>
      </w:pPr>
      <w:r>
        <w:rPr>
          <w:rFonts w:eastAsia="黑体" w:hint="eastAsia"/>
          <w:sz w:val="44"/>
          <w:szCs w:val="44"/>
        </w:rPr>
        <w:lastRenderedPageBreak/>
        <w:t>第三部分</w:t>
      </w:r>
      <w:r>
        <w:rPr>
          <w:rFonts w:eastAsia="黑体" w:hint="eastAsia"/>
          <w:sz w:val="44"/>
          <w:szCs w:val="44"/>
        </w:rPr>
        <w:t xml:space="preserve">  </w:t>
      </w:r>
      <w:r>
        <w:rPr>
          <w:rFonts w:eastAsia="黑体"/>
          <w:sz w:val="44"/>
          <w:szCs w:val="44"/>
        </w:rPr>
        <w:t>名</w:t>
      </w:r>
      <w:r>
        <w:rPr>
          <w:rStyle w:val="1Char"/>
          <w:rFonts w:eastAsia="黑体"/>
          <w:b w:val="0"/>
        </w:rPr>
        <w:t>词解释</w:t>
      </w:r>
      <w:bookmarkEnd w:id="23"/>
      <w:bookmarkEnd w:id="24"/>
    </w:p>
    <w:p w:rsidR="000579ED" w:rsidRDefault="000579ED">
      <w:pPr>
        <w:spacing w:line="600" w:lineRule="exact"/>
        <w:jc w:val="left"/>
        <w:rPr>
          <w:b/>
          <w:sz w:val="44"/>
          <w:szCs w:val="44"/>
        </w:rPr>
      </w:pPr>
    </w:p>
    <w:p w:rsidR="000579ED" w:rsidRDefault="00DD0D1D">
      <w:pPr>
        <w:pStyle w:val="Default"/>
        <w:spacing w:line="560" w:lineRule="exact"/>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1.</w:t>
      </w:r>
      <w:r>
        <w:rPr>
          <w:rFonts w:ascii="Times New Roman" w:eastAsia="仿宋_GB2312" w:hAnsi="Times New Roman" w:hint="eastAsia"/>
          <w:color w:val="auto"/>
          <w:sz w:val="32"/>
          <w:szCs w:val="32"/>
        </w:rPr>
        <w:t>财政拨款收入：指单位从同级财政部门取得的财政预算资金。</w:t>
      </w:r>
    </w:p>
    <w:p w:rsidR="000579ED" w:rsidRDefault="00DD0D1D">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使用非财政拨款结余：指事业单位使用以前年度积累的非财政拨款结余弥补当年收支差额的金额。</w:t>
      </w:r>
    </w:p>
    <w:p w:rsidR="000579ED" w:rsidRDefault="00DD0D1D">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年初结转和结余：指以前年度尚未完成、结转到本年按有关规定继续使用的资金。</w:t>
      </w:r>
    </w:p>
    <w:p w:rsidR="000579ED" w:rsidRDefault="00DD0D1D">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年末结转和结余：指单位按有关规定结转到下年或以后年度继续使用的资金。</w:t>
      </w:r>
    </w:p>
    <w:p w:rsidR="000579ED" w:rsidRDefault="00DD0D1D">
      <w:pPr>
        <w:spacing w:line="560" w:lineRule="exact"/>
        <w:ind w:firstLineChars="200" w:firstLine="640"/>
        <w:rPr>
          <w:rFonts w:eastAsia="仿宋_GB2312"/>
          <w:color w:val="000000"/>
          <w:sz w:val="32"/>
          <w:szCs w:val="32"/>
        </w:rPr>
      </w:pPr>
      <w:r>
        <w:rPr>
          <w:rFonts w:eastAsia="仿宋_GB2312" w:hint="eastAsia"/>
          <w:color w:val="000000"/>
          <w:sz w:val="32"/>
          <w:szCs w:val="32"/>
        </w:rPr>
        <w:t>5</w:t>
      </w:r>
      <w:r>
        <w:rPr>
          <w:rFonts w:eastAsia="仿宋_GB2312"/>
          <w:color w:val="000000"/>
          <w:sz w:val="32"/>
          <w:szCs w:val="32"/>
        </w:rPr>
        <w:t>.</w:t>
      </w:r>
      <w:r>
        <w:rPr>
          <w:rFonts w:eastAsia="仿宋_GB2312" w:hint="eastAsia"/>
          <w:color w:val="000000"/>
          <w:sz w:val="32"/>
          <w:szCs w:val="32"/>
        </w:rPr>
        <w:t>科学技术支出</w:t>
      </w:r>
      <w:r>
        <w:rPr>
          <w:rStyle w:val="15"/>
          <w:rFonts w:eastAsia="仿宋_GB2312"/>
          <w:b w:val="0"/>
          <w:bCs/>
          <w:color w:val="000000"/>
          <w:sz w:val="32"/>
          <w:szCs w:val="32"/>
        </w:rPr>
        <w:t>（类）</w:t>
      </w:r>
      <w:r>
        <w:rPr>
          <w:rStyle w:val="15"/>
          <w:rFonts w:eastAsia="仿宋_GB2312" w:hint="eastAsia"/>
          <w:b w:val="0"/>
          <w:bCs/>
          <w:color w:val="000000"/>
          <w:sz w:val="32"/>
          <w:szCs w:val="32"/>
        </w:rPr>
        <w:t>科学技术普及</w:t>
      </w:r>
      <w:r>
        <w:rPr>
          <w:rStyle w:val="15"/>
          <w:rFonts w:eastAsia="仿宋_GB2312"/>
          <w:b w:val="0"/>
          <w:bCs/>
          <w:color w:val="000000"/>
          <w:sz w:val="32"/>
          <w:szCs w:val="32"/>
        </w:rPr>
        <w:t>（款）</w:t>
      </w:r>
      <w:r>
        <w:rPr>
          <w:rStyle w:val="15"/>
          <w:rFonts w:eastAsia="仿宋_GB2312" w:hint="eastAsia"/>
          <w:b w:val="0"/>
          <w:bCs/>
          <w:color w:val="000000"/>
          <w:sz w:val="32"/>
          <w:szCs w:val="32"/>
        </w:rPr>
        <w:t>其他科学技术普及支出</w:t>
      </w:r>
      <w:r>
        <w:rPr>
          <w:rStyle w:val="15"/>
          <w:rFonts w:eastAsia="仿宋_GB2312"/>
          <w:b w:val="0"/>
          <w:bCs/>
          <w:color w:val="000000"/>
          <w:sz w:val="32"/>
          <w:szCs w:val="32"/>
        </w:rPr>
        <w:t>（项）</w:t>
      </w:r>
      <w:r>
        <w:rPr>
          <w:rFonts w:eastAsia="仿宋_GB2312"/>
          <w:color w:val="000000"/>
          <w:sz w:val="32"/>
          <w:szCs w:val="32"/>
        </w:rPr>
        <w:t>：</w:t>
      </w:r>
      <w:r>
        <w:rPr>
          <w:rFonts w:eastAsia="仿宋_GB2312" w:hint="eastAsia"/>
          <w:color w:val="000000"/>
          <w:sz w:val="32"/>
          <w:szCs w:val="32"/>
        </w:rPr>
        <w:t>反映用于科学技术普及方面的支出</w:t>
      </w:r>
      <w:r>
        <w:rPr>
          <w:rFonts w:eastAsia="仿宋_GB2312"/>
          <w:color w:val="000000"/>
          <w:sz w:val="32"/>
          <w:szCs w:val="32"/>
        </w:rPr>
        <w:t>。</w:t>
      </w:r>
    </w:p>
    <w:p w:rsidR="000579ED" w:rsidRDefault="00DD0D1D">
      <w:pPr>
        <w:spacing w:line="560" w:lineRule="exact"/>
        <w:ind w:firstLineChars="200" w:firstLine="640"/>
        <w:rPr>
          <w:rFonts w:eastAsia="仿宋_GB2312"/>
          <w:color w:val="000000"/>
          <w:sz w:val="32"/>
          <w:szCs w:val="32"/>
        </w:rPr>
      </w:pPr>
      <w:r>
        <w:rPr>
          <w:rFonts w:eastAsia="仿宋_GB2312" w:hint="eastAsia"/>
          <w:color w:val="000000"/>
          <w:sz w:val="32"/>
          <w:szCs w:val="32"/>
        </w:rPr>
        <w:t>6</w:t>
      </w:r>
      <w:r>
        <w:rPr>
          <w:rFonts w:eastAsia="仿宋_GB2312"/>
          <w:color w:val="000000"/>
          <w:sz w:val="32"/>
          <w:szCs w:val="32"/>
        </w:rPr>
        <w:t>.</w:t>
      </w:r>
      <w:r>
        <w:rPr>
          <w:rFonts w:eastAsia="仿宋_GB2312"/>
          <w:color w:val="000000"/>
          <w:sz w:val="32"/>
          <w:szCs w:val="32"/>
        </w:rPr>
        <w:t>社会保障和就业</w:t>
      </w:r>
      <w:r>
        <w:rPr>
          <w:rStyle w:val="15"/>
          <w:rFonts w:eastAsia="仿宋_GB2312"/>
          <w:b w:val="0"/>
          <w:bCs/>
          <w:color w:val="000000"/>
          <w:sz w:val="32"/>
          <w:szCs w:val="32"/>
        </w:rPr>
        <w:t>（类）行政事业单位养老支出（款）行政单位离退休（项）</w:t>
      </w:r>
      <w:r>
        <w:rPr>
          <w:rFonts w:eastAsia="仿宋_GB2312"/>
          <w:color w:val="000000"/>
          <w:sz w:val="32"/>
          <w:szCs w:val="32"/>
        </w:rPr>
        <w:t>：指反映行政单位（包括实行公务员管理的事业单位）开支的离退休经费。</w:t>
      </w:r>
    </w:p>
    <w:p w:rsidR="000579ED" w:rsidRDefault="00DD0D1D">
      <w:pPr>
        <w:spacing w:line="560" w:lineRule="exact"/>
        <w:ind w:firstLineChars="200" w:firstLine="640"/>
        <w:rPr>
          <w:rStyle w:val="15"/>
          <w:rFonts w:eastAsia="仿宋_GB2312"/>
          <w:b w:val="0"/>
          <w:bCs/>
        </w:rPr>
      </w:pPr>
      <w:r>
        <w:rPr>
          <w:rStyle w:val="15"/>
          <w:rFonts w:eastAsia="仿宋_GB2312"/>
          <w:b w:val="0"/>
          <w:bCs/>
          <w:color w:val="000000"/>
          <w:sz w:val="32"/>
          <w:szCs w:val="32"/>
        </w:rPr>
        <w:t>7.</w:t>
      </w:r>
      <w:r>
        <w:rPr>
          <w:rFonts w:eastAsia="仿宋_GB2312"/>
          <w:color w:val="000000"/>
          <w:sz w:val="32"/>
          <w:szCs w:val="32"/>
        </w:rPr>
        <w:t>社会保障和就业</w:t>
      </w:r>
      <w:r>
        <w:rPr>
          <w:rStyle w:val="15"/>
          <w:rFonts w:eastAsia="仿宋_GB2312"/>
          <w:b w:val="0"/>
          <w:bCs/>
          <w:color w:val="000000"/>
          <w:sz w:val="32"/>
          <w:szCs w:val="32"/>
        </w:rPr>
        <w:t>（类）行政事业单位养老支出（款）机关事业单位基本养老保险缴费支出（项）：指反映机关事业单位设施养老保险制度由单位实际缴纳的基本养老保险费支出。</w:t>
      </w:r>
    </w:p>
    <w:p w:rsidR="000579ED" w:rsidRDefault="00DD0D1D">
      <w:pPr>
        <w:pStyle w:val="a0"/>
        <w:spacing w:before="93" w:line="560" w:lineRule="exact"/>
        <w:ind w:firstLineChars="200" w:firstLine="640"/>
        <w:rPr>
          <w:rStyle w:val="15"/>
          <w:rFonts w:ascii="Times New Roman"/>
          <w:szCs w:val="30"/>
        </w:rPr>
      </w:pPr>
      <w:r>
        <w:rPr>
          <w:rStyle w:val="15"/>
          <w:rFonts w:ascii="Times New Roman"/>
          <w:b w:val="0"/>
          <w:bCs/>
          <w:color w:val="000000"/>
          <w:sz w:val="32"/>
          <w:szCs w:val="32"/>
        </w:rPr>
        <w:t>8.</w:t>
      </w:r>
      <w:r>
        <w:rPr>
          <w:rStyle w:val="15"/>
          <w:rFonts w:ascii="Times New Roman"/>
          <w:b w:val="0"/>
          <w:bCs/>
          <w:color w:val="000000"/>
          <w:sz w:val="32"/>
          <w:szCs w:val="32"/>
        </w:rPr>
        <w:t>节能环保支出（类）自然生态保护（款）自然保护地（项）：反</w:t>
      </w:r>
      <w:r>
        <w:rPr>
          <w:rStyle w:val="15"/>
          <w:rFonts w:ascii="Times New Roman" w:hint="eastAsia"/>
          <w:b w:val="0"/>
          <w:bCs/>
          <w:color w:val="000000"/>
          <w:sz w:val="32"/>
          <w:szCs w:val="32"/>
        </w:rPr>
        <w:t>映</w:t>
      </w:r>
      <w:r>
        <w:rPr>
          <w:rStyle w:val="15"/>
          <w:rFonts w:ascii="Times New Roman"/>
          <w:b w:val="0"/>
          <w:bCs/>
          <w:color w:val="000000"/>
          <w:sz w:val="32"/>
          <w:szCs w:val="32"/>
        </w:rPr>
        <w:t>用于国家公园、自然保护区、自然公园勘界、建设、调查、规划、监测、管护、生态保护补偿与修复、野生动植物保护、科研、保护设施设备运行维护、宣传及管理等方面的支出。</w:t>
      </w:r>
    </w:p>
    <w:p w:rsidR="000579ED" w:rsidRDefault="00DD0D1D">
      <w:pPr>
        <w:spacing w:line="560" w:lineRule="exact"/>
        <w:ind w:firstLineChars="200" w:firstLine="640"/>
        <w:rPr>
          <w:rFonts w:eastAsia="仿宋_GB2312"/>
          <w:color w:val="000000"/>
          <w:sz w:val="32"/>
          <w:szCs w:val="32"/>
        </w:rPr>
      </w:pPr>
      <w:r>
        <w:rPr>
          <w:rStyle w:val="15"/>
          <w:rFonts w:eastAsia="仿宋_GB2312"/>
          <w:b w:val="0"/>
          <w:bCs/>
          <w:color w:val="000000"/>
          <w:sz w:val="32"/>
          <w:szCs w:val="32"/>
        </w:rPr>
        <w:lastRenderedPageBreak/>
        <w:t>9.</w:t>
      </w:r>
      <w:r>
        <w:rPr>
          <w:rFonts w:eastAsia="仿宋_GB2312"/>
          <w:color w:val="000000"/>
          <w:sz w:val="32"/>
          <w:szCs w:val="32"/>
        </w:rPr>
        <w:t>农林水支出</w:t>
      </w:r>
      <w:r>
        <w:rPr>
          <w:rStyle w:val="15"/>
          <w:rFonts w:eastAsia="仿宋_GB2312"/>
          <w:b w:val="0"/>
          <w:bCs/>
          <w:color w:val="000000"/>
          <w:sz w:val="32"/>
          <w:szCs w:val="32"/>
        </w:rPr>
        <w:t>（类）林业和草原（款）</w:t>
      </w:r>
      <w:r>
        <w:rPr>
          <w:rStyle w:val="15"/>
          <w:rFonts w:eastAsia="仿宋_GB2312" w:hint="eastAsia"/>
          <w:b w:val="0"/>
          <w:bCs/>
          <w:color w:val="000000"/>
          <w:sz w:val="32"/>
          <w:szCs w:val="32"/>
        </w:rPr>
        <w:t>行政运行</w:t>
      </w:r>
      <w:r>
        <w:rPr>
          <w:rStyle w:val="15"/>
          <w:rFonts w:eastAsia="仿宋_GB2312"/>
          <w:b w:val="0"/>
          <w:bCs/>
          <w:color w:val="000000"/>
          <w:sz w:val="32"/>
          <w:szCs w:val="32"/>
        </w:rPr>
        <w:t>（项）：指</w:t>
      </w:r>
      <w:r>
        <w:rPr>
          <w:rStyle w:val="15"/>
          <w:rFonts w:eastAsia="仿宋_GB2312" w:hint="eastAsia"/>
          <w:b w:val="0"/>
          <w:bCs/>
          <w:color w:val="000000"/>
          <w:sz w:val="32"/>
          <w:szCs w:val="32"/>
        </w:rPr>
        <w:t>反映行政单位（包括实行公务员管理的事业单位）的基本支出</w:t>
      </w:r>
      <w:r>
        <w:rPr>
          <w:rStyle w:val="15"/>
          <w:rFonts w:eastAsia="仿宋_GB2312"/>
          <w:b w:val="0"/>
          <w:bCs/>
          <w:color w:val="000000"/>
          <w:sz w:val="32"/>
          <w:szCs w:val="32"/>
        </w:rPr>
        <w:t>。</w:t>
      </w:r>
    </w:p>
    <w:p w:rsidR="000579ED" w:rsidRDefault="00DD0D1D">
      <w:pPr>
        <w:spacing w:line="560" w:lineRule="exact"/>
        <w:ind w:firstLineChars="200" w:firstLine="640"/>
        <w:rPr>
          <w:rStyle w:val="15"/>
          <w:rFonts w:eastAsia="仿宋_GB2312"/>
          <w:b w:val="0"/>
          <w:bCs/>
          <w:color w:val="000000"/>
          <w:sz w:val="32"/>
          <w:szCs w:val="32"/>
        </w:rPr>
      </w:pPr>
      <w:r>
        <w:rPr>
          <w:rStyle w:val="15"/>
          <w:rFonts w:eastAsia="仿宋_GB2312" w:hint="eastAsia"/>
          <w:b w:val="0"/>
          <w:bCs/>
          <w:color w:val="000000"/>
          <w:sz w:val="32"/>
          <w:szCs w:val="32"/>
        </w:rPr>
        <w:t>10</w:t>
      </w:r>
      <w:r>
        <w:rPr>
          <w:rStyle w:val="15"/>
          <w:rFonts w:eastAsia="仿宋_GB2312"/>
          <w:b w:val="0"/>
          <w:bCs/>
          <w:color w:val="000000"/>
          <w:sz w:val="32"/>
          <w:szCs w:val="32"/>
        </w:rPr>
        <w:t>.</w:t>
      </w:r>
      <w:r>
        <w:rPr>
          <w:rFonts w:eastAsia="仿宋_GB2312"/>
          <w:color w:val="000000"/>
          <w:sz w:val="32"/>
          <w:szCs w:val="32"/>
        </w:rPr>
        <w:t>农林水支出</w:t>
      </w:r>
      <w:r>
        <w:rPr>
          <w:rStyle w:val="15"/>
          <w:rFonts w:eastAsia="仿宋_GB2312"/>
          <w:b w:val="0"/>
          <w:bCs/>
          <w:color w:val="000000"/>
          <w:sz w:val="32"/>
          <w:szCs w:val="32"/>
        </w:rPr>
        <w:t>（类）林业和草原（款）</w:t>
      </w:r>
      <w:r w:rsidR="004D0156">
        <w:rPr>
          <w:rStyle w:val="15"/>
          <w:rFonts w:eastAsia="仿宋_GB2312" w:hint="eastAsia"/>
          <w:b w:val="0"/>
          <w:bCs/>
          <w:color w:val="000000"/>
          <w:sz w:val="32"/>
          <w:szCs w:val="32"/>
        </w:rPr>
        <w:t>其他林业和草原支出</w:t>
      </w:r>
      <w:r>
        <w:rPr>
          <w:rStyle w:val="15"/>
          <w:rFonts w:eastAsia="仿宋_GB2312"/>
          <w:b w:val="0"/>
          <w:bCs/>
          <w:color w:val="000000"/>
          <w:sz w:val="32"/>
          <w:szCs w:val="32"/>
        </w:rPr>
        <w:t>（项）：</w:t>
      </w:r>
      <w:r>
        <w:rPr>
          <w:rStyle w:val="15"/>
          <w:rFonts w:eastAsia="仿宋_GB2312"/>
          <w:b w:val="0"/>
          <w:bCs/>
          <w:color w:val="000000"/>
          <w:sz w:val="32"/>
          <w:szCs w:val="32"/>
        </w:rPr>
        <w:t xml:space="preserve"> </w:t>
      </w:r>
      <w:r w:rsidR="004D0156">
        <w:rPr>
          <w:rStyle w:val="15"/>
          <w:rFonts w:eastAsia="仿宋_GB2312"/>
          <w:b w:val="0"/>
          <w:bCs/>
          <w:color w:val="000000"/>
          <w:sz w:val="32"/>
          <w:szCs w:val="32"/>
        </w:rPr>
        <w:t>指反映</w:t>
      </w:r>
      <w:r w:rsidR="004D0156">
        <w:rPr>
          <w:rStyle w:val="15"/>
          <w:rFonts w:eastAsia="仿宋_GB2312" w:hint="eastAsia"/>
          <w:b w:val="0"/>
          <w:bCs/>
          <w:color w:val="000000"/>
          <w:sz w:val="32"/>
          <w:szCs w:val="32"/>
        </w:rPr>
        <w:t>其他用于林业和草原方面的</w:t>
      </w:r>
      <w:r>
        <w:rPr>
          <w:rStyle w:val="15"/>
          <w:rFonts w:eastAsia="仿宋_GB2312"/>
          <w:b w:val="0"/>
          <w:bCs/>
          <w:color w:val="000000"/>
          <w:sz w:val="32"/>
          <w:szCs w:val="32"/>
        </w:rPr>
        <w:t>支出。</w:t>
      </w:r>
    </w:p>
    <w:p w:rsidR="000579ED" w:rsidRDefault="00DD0D1D">
      <w:pPr>
        <w:spacing w:line="560" w:lineRule="exact"/>
        <w:ind w:firstLineChars="200" w:firstLine="640"/>
        <w:rPr>
          <w:rStyle w:val="15"/>
          <w:rFonts w:eastAsia="仿宋_GB2312"/>
          <w:bCs/>
        </w:rPr>
      </w:pPr>
      <w:r>
        <w:rPr>
          <w:rStyle w:val="15"/>
          <w:rFonts w:eastAsia="仿宋_GB2312"/>
          <w:b w:val="0"/>
          <w:bCs/>
          <w:color w:val="000000"/>
          <w:sz w:val="32"/>
          <w:szCs w:val="32"/>
        </w:rPr>
        <w:t>1</w:t>
      </w:r>
      <w:r>
        <w:rPr>
          <w:rStyle w:val="15"/>
          <w:rFonts w:eastAsia="仿宋_GB2312" w:hint="eastAsia"/>
          <w:b w:val="0"/>
          <w:bCs/>
          <w:color w:val="000000"/>
          <w:sz w:val="32"/>
          <w:szCs w:val="32"/>
        </w:rPr>
        <w:t>1</w:t>
      </w:r>
      <w:r>
        <w:rPr>
          <w:rStyle w:val="15"/>
          <w:rFonts w:eastAsia="仿宋_GB2312"/>
          <w:b w:val="0"/>
          <w:bCs/>
          <w:color w:val="000000"/>
          <w:sz w:val="32"/>
          <w:szCs w:val="32"/>
        </w:rPr>
        <w:t>.</w:t>
      </w:r>
      <w:r>
        <w:rPr>
          <w:rFonts w:eastAsia="仿宋_GB2312"/>
          <w:color w:val="000000"/>
          <w:sz w:val="32"/>
          <w:szCs w:val="32"/>
        </w:rPr>
        <w:t>住房保障支出</w:t>
      </w:r>
      <w:r>
        <w:rPr>
          <w:rStyle w:val="15"/>
          <w:rFonts w:eastAsia="仿宋_GB2312"/>
          <w:b w:val="0"/>
          <w:bCs/>
          <w:color w:val="000000"/>
          <w:sz w:val="32"/>
          <w:szCs w:val="32"/>
        </w:rPr>
        <w:t>（类）住房改革支出（款）住房公积金（项）：指反映行政事业单位按人力资源和社会保障部、财政部规定的基本工资和津贴补贴以及规定比例为职工缴纳的住房公积金。</w:t>
      </w:r>
    </w:p>
    <w:p w:rsidR="000579ED" w:rsidRDefault="00DD0D1D">
      <w:pPr>
        <w:spacing w:line="560" w:lineRule="exact"/>
        <w:ind w:firstLineChars="200" w:firstLine="640"/>
        <w:rPr>
          <w:rFonts w:eastAsia="仿宋_GB2312"/>
        </w:rPr>
      </w:pPr>
      <w:r>
        <w:rPr>
          <w:rFonts w:eastAsia="仿宋_GB2312"/>
          <w:color w:val="000000"/>
          <w:sz w:val="32"/>
          <w:szCs w:val="32"/>
        </w:rPr>
        <w:t>1</w:t>
      </w:r>
      <w:r>
        <w:rPr>
          <w:rFonts w:eastAsia="仿宋_GB2312" w:hint="eastAsia"/>
          <w:color w:val="000000"/>
          <w:sz w:val="32"/>
          <w:szCs w:val="32"/>
        </w:rPr>
        <w:t>2</w:t>
      </w:r>
      <w:r>
        <w:rPr>
          <w:rFonts w:eastAsia="仿宋_GB2312"/>
          <w:color w:val="000000"/>
          <w:sz w:val="32"/>
          <w:szCs w:val="32"/>
        </w:rPr>
        <w:t>.</w:t>
      </w:r>
      <w:r>
        <w:rPr>
          <w:rFonts w:eastAsia="仿宋_GB2312"/>
          <w:color w:val="000000"/>
          <w:sz w:val="32"/>
          <w:szCs w:val="32"/>
        </w:rPr>
        <w:t>基本支出：指为保障机构正常运转、完成日常工作任务而发生的人员支出和公用支出。</w:t>
      </w:r>
    </w:p>
    <w:p w:rsidR="000579ED" w:rsidRDefault="00DD0D1D">
      <w:pPr>
        <w:spacing w:line="560" w:lineRule="exact"/>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3</w:t>
      </w:r>
      <w:r>
        <w:rPr>
          <w:rFonts w:eastAsia="仿宋_GB2312"/>
          <w:color w:val="000000"/>
          <w:sz w:val="32"/>
          <w:szCs w:val="32"/>
        </w:rPr>
        <w:t>.</w:t>
      </w:r>
      <w:r>
        <w:rPr>
          <w:rFonts w:eastAsia="仿宋_GB2312"/>
          <w:color w:val="000000"/>
          <w:sz w:val="32"/>
          <w:szCs w:val="32"/>
        </w:rPr>
        <w:t>项目支出：指在基本支出之外为完成特定行政任务和事业发展目标所发生的支出。</w:t>
      </w:r>
    </w:p>
    <w:p w:rsidR="000579ED" w:rsidRDefault="00DD0D1D">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0579ED" w:rsidRDefault="00DD0D1D">
      <w:pPr>
        <w:pStyle w:val="Default"/>
        <w:spacing w:line="560" w:lineRule="exact"/>
        <w:ind w:firstLineChars="200" w:firstLine="640"/>
        <w:rPr>
          <w:rFonts w:ascii="Times New Roman" w:eastAsia="仿宋_GB2312" w:hAnsi="Times New Roman" w:cs="Times New Roman"/>
          <w:b/>
          <w:color w:val="000000" w:themeColor="text1"/>
          <w:sz w:val="44"/>
          <w:szCs w:val="44"/>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w:t>
      </w:r>
      <w:r>
        <w:rPr>
          <w:rFonts w:ascii="Times New Roman" w:eastAsia="仿宋_GB2312" w:hAnsi="Times New Roman" w:cs="Times New Roman"/>
          <w:sz w:val="32"/>
          <w:szCs w:val="32"/>
        </w:rPr>
        <w:lastRenderedPageBreak/>
        <w:t>修费、专用材料及一般设备购置费、办公用房水电费、办公用房取暖费、办公用房物业管理费、公务用车运行维护费以及其他费用</w:t>
      </w:r>
      <w:r>
        <w:rPr>
          <w:rFonts w:ascii="Times New Roman" w:eastAsia="仿宋_GB2312" w:hAnsi="Times New Roman" w:cs="Times New Roman"/>
          <w:color w:val="000000" w:themeColor="text1"/>
          <w:sz w:val="32"/>
          <w:szCs w:val="32"/>
        </w:rPr>
        <w:t>。</w:t>
      </w:r>
      <w:bookmarkStart w:id="26" w:name="_Toc15396614"/>
      <w:bookmarkStart w:id="27" w:name="_Toc15377226"/>
    </w:p>
    <w:p w:rsidR="000579ED" w:rsidRDefault="000579ED">
      <w:pPr>
        <w:pStyle w:val="Default"/>
        <w:spacing w:line="560" w:lineRule="exact"/>
        <w:ind w:firstLineChars="200" w:firstLine="883"/>
        <w:rPr>
          <w:rFonts w:ascii="Times New Roman" w:hAnsi="Times New Roman" w:cs="Times New Roman"/>
          <w:b/>
          <w:color w:val="000000" w:themeColor="text1"/>
          <w:sz w:val="44"/>
          <w:szCs w:val="44"/>
        </w:rPr>
      </w:pPr>
    </w:p>
    <w:p w:rsidR="000579ED" w:rsidRDefault="000579ED">
      <w:pPr>
        <w:pStyle w:val="Default"/>
        <w:spacing w:line="560" w:lineRule="exact"/>
        <w:ind w:firstLineChars="200" w:firstLine="883"/>
        <w:rPr>
          <w:rFonts w:ascii="Times New Roman" w:hAnsi="Times New Roman" w:cs="Times New Roman"/>
          <w:b/>
          <w:color w:val="000000" w:themeColor="text1"/>
          <w:sz w:val="44"/>
          <w:szCs w:val="44"/>
        </w:rPr>
      </w:pPr>
    </w:p>
    <w:p w:rsidR="004D0156" w:rsidRDefault="004D0156">
      <w:pPr>
        <w:pStyle w:val="Default"/>
        <w:spacing w:line="560" w:lineRule="exact"/>
        <w:ind w:firstLineChars="200" w:firstLine="883"/>
        <w:rPr>
          <w:rFonts w:ascii="Times New Roman" w:hAnsi="Times New Roman" w:cs="Times New Roman"/>
          <w:b/>
          <w:color w:val="000000" w:themeColor="text1"/>
          <w:sz w:val="44"/>
          <w:szCs w:val="44"/>
        </w:rPr>
      </w:pPr>
    </w:p>
    <w:p w:rsidR="004D0156" w:rsidRDefault="004D0156">
      <w:pPr>
        <w:pStyle w:val="Default"/>
        <w:spacing w:line="560" w:lineRule="exact"/>
        <w:ind w:firstLineChars="200" w:firstLine="883"/>
        <w:rPr>
          <w:rFonts w:ascii="Times New Roman" w:hAnsi="Times New Roman" w:cs="Times New Roman"/>
          <w:b/>
          <w:color w:val="000000" w:themeColor="text1"/>
          <w:sz w:val="44"/>
          <w:szCs w:val="44"/>
        </w:rPr>
      </w:pPr>
    </w:p>
    <w:p w:rsidR="000579ED" w:rsidRDefault="000579ED">
      <w:pPr>
        <w:pStyle w:val="Default"/>
        <w:spacing w:line="560" w:lineRule="exact"/>
        <w:ind w:firstLineChars="200" w:firstLine="883"/>
        <w:rPr>
          <w:rFonts w:ascii="Times New Roman" w:hAnsi="Times New Roman" w:cs="Times New Roman"/>
          <w:b/>
          <w:color w:val="000000" w:themeColor="text1"/>
          <w:sz w:val="44"/>
          <w:szCs w:val="44"/>
        </w:rPr>
      </w:pPr>
    </w:p>
    <w:p w:rsidR="000579ED" w:rsidRDefault="000579ED">
      <w:pPr>
        <w:pStyle w:val="Default"/>
        <w:spacing w:line="560" w:lineRule="exact"/>
        <w:ind w:firstLineChars="200" w:firstLine="883"/>
        <w:rPr>
          <w:rFonts w:ascii="Times New Roman" w:hAnsi="Times New Roman" w:cs="Times New Roman"/>
          <w:b/>
          <w:color w:val="000000" w:themeColor="text1"/>
          <w:sz w:val="44"/>
          <w:szCs w:val="44"/>
        </w:rPr>
      </w:pPr>
    </w:p>
    <w:p w:rsidR="000579ED" w:rsidRDefault="000579ED">
      <w:pPr>
        <w:pStyle w:val="Default"/>
        <w:spacing w:line="560" w:lineRule="exact"/>
        <w:ind w:firstLineChars="200" w:firstLine="883"/>
        <w:rPr>
          <w:rFonts w:ascii="Times New Roman" w:hAnsi="Times New Roman" w:cs="Times New Roman"/>
          <w:b/>
          <w:color w:val="000000" w:themeColor="text1"/>
          <w:sz w:val="44"/>
          <w:szCs w:val="44"/>
        </w:rPr>
      </w:pPr>
    </w:p>
    <w:p w:rsidR="000579ED" w:rsidRDefault="000579ED">
      <w:pPr>
        <w:pStyle w:val="Default"/>
        <w:spacing w:line="560" w:lineRule="exact"/>
        <w:ind w:firstLineChars="200" w:firstLine="883"/>
        <w:rPr>
          <w:rFonts w:ascii="Times New Roman" w:hAnsi="Times New Roman" w:cs="Times New Roman"/>
          <w:b/>
          <w:color w:val="000000" w:themeColor="text1"/>
          <w:sz w:val="44"/>
          <w:szCs w:val="44"/>
        </w:rPr>
      </w:pPr>
    </w:p>
    <w:p w:rsidR="000579ED" w:rsidRDefault="000579ED">
      <w:pPr>
        <w:pStyle w:val="Default"/>
        <w:spacing w:line="560" w:lineRule="exact"/>
        <w:ind w:firstLineChars="200" w:firstLine="883"/>
        <w:rPr>
          <w:rFonts w:ascii="Times New Roman" w:hAnsi="Times New Roman" w:cs="Times New Roman"/>
          <w:b/>
          <w:color w:val="000000" w:themeColor="text1"/>
          <w:sz w:val="44"/>
          <w:szCs w:val="44"/>
        </w:rPr>
      </w:pPr>
    </w:p>
    <w:p w:rsidR="000579ED" w:rsidRDefault="000579ED">
      <w:pPr>
        <w:pStyle w:val="Default"/>
        <w:spacing w:line="560" w:lineRule="exact"/>
        <w:ind w:firstLineChars="200" w:firstLine="883"/>
        <w:rPr>
          <w:rFonts w:ascii="Times New Roman" w:hAnsi="Times New Roman" w:cs="Times New Roman"/>
          <w:b/>
          <w:color w:val="000000" w:themeColor="text1"/>
          <w:sz w:val="44"/>
          <w:szCs w:val="44"/>
        </w:rPr>
      </w:pPr>
    </w:p>
    <w:p w:rsidR="000579ED" w:rsidRDefault="000579ED">
      <w:pPr>
        <w:pStyle w:val="Default"/>
        <w:spacing w:line="560" w:lineRule="exact"/>
        <w:ind w:firstLineChars="200" w:firstLine="883"/>
        <w:rPr>
          <w:rFonts w:ascii="Times New Roman" w:hAnsi="Times New Roman" w:cs="Times New Roman"/>
          <w:b/>
          <w:color w:val="000000" w:themeColor="text1"/>
          <w:sz w:val="44"/>
          <w:szCs w:val="44"/>
        </w:rPr>
      </w:pPr>
    </w:p>
    <w:p w:rsidR="000579ED" w:rsidRDefault="000579ED">
      <w:pPr>
        <w:pStyle w:val="Default"/>
        <w:spacing w:line="560" w:lineRule="exact"/>
        <w:ind w:firstLineChars="200" w:firstLine="883"/>
        <w:rPr>
          <w:rFonts w:ascii="Times New Roman" w:hAnsi="Times New Roman" w:cs="Times New Roman"/>
          <w:b/>
          <w:color w:val="000000" w:themeColor="text1"/>
          <w:sz w:val="44"/>
          <w:szCs w:val="44"/>
        </w:rPr>
      </w:pPr>
    </w:p>
    <w:p w:rsidR="000579ED" w:rsidRDefault="000579ED">
      <w:pPr>
        <w:pStyle w:val="Default"/>
        <w:spacing w:line="560" w:lineRule="exact"/>
        <w:ind w:firstLineChars="200" w:firstLine="883"/>
        <w:rPr>
          <w:rFonts w:ascii="Times New Roman" w:hAnsi="Times New Roman" w:cs="Times New Roman"/>
          <w:b/>
          <w:color w:val="000000" w:themeColor="text1"/>
          <w:sz w:val="44"/>
          <w:szCs w:val="44"/>
        </w:rPr>
      </w:pPr>
    </w:p>
    <w:p w:rsidR="000579ED" w:rsidRDefault="000579ED">
      <w:pPr>
        <w:pStyle w:val="Default"/>
        <w:spacing w:line="560" w:lineRule="exact"/>
        <w:ind w:firstLineChars="200" w:firstLine="883"/>
        <w:rPr>
          <w:rFonts w:ascii="Times New Roman" w:hAnsi="Times New Roman" w:cs="Times New Roman"/>
          <w:b/>
          <w:color w:val="000000" w:themeColor="text1"/>
          <w:sz w:val="44"/>
          <w:szCs w:val="44"/>
        </w:rPr>
      </w:pPr>
    </w:p>
    <w:p w:rsidR="000579ED" w:rsidRDefault="000579ED">
      <w:pPr>
        <w:pStyle w:val="Default"/>
        <w:spacing w:line="560" w:lineRule="exact"/>
        <w:ind w:firstLineChars="200" w:firstLine="883"/>
        <w:rPr>
          <w:rFonts w:ascii="Times New Roman" w:hAnsi="Times New Roman" w:cs="Times New Roman"/>
          <w:b/>
          <w:color w:val="000000" w:themeColor="text1"/>
          <w:sz w:val="44"/>
          <w:szCs w:val="44"/>
        </w:rPr>
      </w:pPr>
    </w:p>
    <w:p w:rsidR="000579ED" w:rsidRDefault="000579ED">
      <w:pPr>
        <w:pStyle w:val="Default"/>
        <w:spacing w:line="560" w:lineRule="exact"/>
        <w:ind w:firstLineChars="200" w:firstLine="883"/>
        <w:rPr>
          <w:rFonts w:ascii="Times New Roman" w:hAnsi="Times New Roman" w:cs="Times New Roman"/>
          <w:b/>
          <w:color w:val="000000" w:themeColor="text1"/>
          <w:sz w:val="44"/>
          <w:szCs w:val="44"/>
        </w:rPr>
      </w:pPr>
    </w:p>
    <w:p w:rsidR="000579ED" w:rsidRDefault="000579ED">
      <w:pPr>
        <w:pStyle w:val="Default"/>
        <w:spacing w:line="560" w:lineRule="exact"/>
        <w:ind w:firstLineChars="200" w:firstLine="883"/>
        <w:rPr>
          <w:rFonts w:ascii="Times New Roman" w:hAnsi="Times New Roman" w:cs="Times New Roman"/>
          <w:b/>
          <w:color w:val="000000" w:themeColor="text1"/>
          <w:sz w:val="44"/>
          <w:szCs w:val="44"/>
        </w:rPr>
      </w:pPr>
    </w:p>
    <w:p w:rsidR="000579ED" w:rsidRDefault="000579ED">
      <w:pPr>
        <w:pStyle w:val="Default"/>
        <w:spacing w:line="560" w:lineRule="exact"/>
        <w:ind w:firstLineChars="200" w:firstLine="883"/>
        <w:rPr>
          <w:rFonts w:ascii="Times New Roman" w:hAnsi="Times New Roman" w:cs="Times New Roman"/>
          <w:b/>
          <w:color w:val="000000" w:themeColor="text1"/>
          <w:sz w:val="44"/>
          <w:szCs w:val="44"/>
        </w:rPr>
      </w:pPr>
    </w:p>
    <w:p w:rsidR="000579ED" w:rsidRDefault="000579ED">
      <w:pPr>
        <w:pStyle w:val="Default"/>
        <w:spacing w:line="560" w:lineRule="exact"/>
        <w:ind w:firstLineChars="200" w:firstLine="883"/>
        <w:rPr>
          <w:rFonts w:ascii="Times New Roman" w:hAnsi="Times New Roman" w:cs="Times New Roman"/>
          <w:b/>
          <w:color w:val="000000" w:themeColor="text1"/>
          <w:sz w:val="44"/>
          <w:szCs w:val="44"/>
        </w:rPr>
      </w:pPr>
    </w:p>
    <w:p w:rsidR="000579ED" w:rsidRDefault="000579ED">
      <w:pPr>
        <w:pStyle w:val="Default"/>
        <w:spacing w:line="560" w:lineRule="exact"/>
        <w:ind w:firstLineChars="200" w:firstLine="883"/>
        <w:rPr>
          <w:rFonts w:ascii="Times New Roman" w:hAnsi="Times New Roman" w:cs="Times New Roman"/>
          <w:b/>
          <w:color w:val="000000" w:themeColor="text1"/>
          <w:sz w:val="44"/>
          <w:szCs w:val="44"/>
        </w:rPr>
      </w:pPr>
    </w:p>
    <w:p w:rsidR="000579ED" w:rsidRDefault="000579ED">
      <w:pPr>
        <w:pStyle w:val="Default"/>
        <w:spacing w:line="560" w:lineRule="exact"/>
        <w:rPr>
          <w:rFonts w:ascii="Times New Roman" w:hAnsi="Times New Roman" w:cs="Times New Roman"/>
          <w:b/>
          <w:color w:val="000000" w:themeColor="text1"/>
          <w:sz w:val="44"/>
          <w:szCs w:val="44"/>
        </w:rPr>
      </w:pPr>
    </w:p>
    <w:p w:rsidR="000579ED" w:rsidRDefault="00DD0D1D">
      <w:pPr>
        <w:pStyle w:val="Default"/>
        <w:spacing w:line="560" w:lineRule="exact"/>
        <w:ind w:firstLineChars="600" w:firstLine="2640"/>
        <w:rPr>
          <w:rStyle w:val="1Char"/>
          <w:rFonts w:eastAsia="仿宋_GB2312" w:cs="Times New Roman"/>
          <w:b w:val="0"/>
          <w:bCs w:val="0"/>
          <w:color w:val="000000" w:themeColor="text1"/>
          <w:kern w:val="0"/>
          <w:sz w:val="32"/>
          <w:szCs w:val="32"/>
        </w:rPr>
      </w:pPr>
      <w:r>
        <w:rPr>
          <w:rFonts w:ascii="Times New Roman" w:eastAsia="黑体" w:hAnsi="Times New Roman" w:cs="Times New Roman"/>
          <w:color w:val="000000" w:themeColor="text1"/>
          <w:sz w:val="44"/>
          <w:szCs w:val="44"/>
        </w:rPr>
        <w:lastRenderedPageBreak/>
        <w:t>第</w:t>
      </w:r>
      <w:r>
        <w:rPr>
          <w:rStyle w:val="1Char"/>
          <w:rFonts w:eastAsia="黑体" w:cs="Times New Roman"/>
          <w:b w:val="0"/>
          <w:color w:val="000000" w:themeColor="text1"/>
        </w:rPr>
        <w:t>四部分附件</w:t>
      </w:r>
      <w:bookmarkEnd w:id="26"/>
    </w:p>
    <w:p w:rsidR="000579ED" w:rsidRDefault="000579ED">
      <w:pPr>
        <w:spacing w:line="572" w:lineRule="exact"/>
        <w:jc w:val="left"/>
        <w:outlineLvl w:val="0"/>
        <w:rPr>
          <w:rFonts w:eastAsia="仿宋_GB2312"/>
          <w:sz w:val="32"/>
          <w:szCs w:val="32"/>
        </w:rPr>
      </w:pPr>
    </w:p>
    <w:p w:rsidR="000579ED" w:rsidRDefault="00DD0D1D">
      <w:pPr>
        <w:spacing w:line="600" w:lineRule="exact"/>
        <w:jc w:val="center"/>
        <w:outlineLvl w:val="0"/>
        <w:rPr>
          <w:rFonts w:eastAsia="仿宋_GB2312"/>
          <w:kern w:val="0"/>
          <w:sz w:val="32"/>
          <w:szCs w:val="32"/>
        </w:rPr>
      </w:pPr>
      <w:bookmarkStart w:id="28" w:name="_Toc15396618"/>
      <w:r>
        <w:rPr>
          <w:rFonts w:eastAsia="仿宋_GB2312"/>
          <w:kern w:val="0"/>
          <w:sz w:val="32"/>
          <w:szCs w:val="32"/>
        </w:rPr>
        <w:t>部门预算项目支出绩效自评表（</w:t>
      </w:r>
      <w:r>
        <w:rPr>
          <w:rFonts w:eastAsia="仿宋_GB2312"/>
          <w:kern w:val="0"/>
          <w:sz w:val="32"/>
          <w:szCs w:val="32"/>
        </w:rPr>
        <w:t>202</w:t>
      </w:r>
      <w:r>
        <w:rPr>
          <w:rFonts w:eastAsia="仿宋_GB2312" w:hint="eastAsia"/>
          <w:kern w:val="0"/>
          <w:sz w:val="32"/>
          <w:szCs w:val="32"/>
        </w:rPr>
        <w:t>3</w:t>
      </w:r>
      <w:r>
        <w:rPr>
          <w:rFonts w:eastAsia="仿宋_GB2312"/>
          <w:kern w:val="0"/>
          <w:sz w:val="32"/>
          <w:szCs w:val="32"/>
        </w:rPr>
        <w:t>年度）见附件</w:t>
      </w:r>
      <w:r>
        <w:rPr>
          <w:rFonts w:eastAsia="仿宋_GB2312" w:hint="eastAsia"/>
          <w:kern w:val="0"/>
          <w:sz w:val="32"/>
          <w:szCs w:val="32"/>
        </w:rPr>
        <w:t>3</w:t>
      </w:r>
      <w:r>
        <w:rPr>
          <w:rFonts w:eastAsia="仿宋_GB2312"/>
          <w:kern w:val="0"/>
          <w:sz w:val="32"/>
          <w:szCs w:val="32"/>
        </w:rPr>
        <w:t>。</w:t>
      </w:r>
    </w:p>
    <w:p w:rsidR="000579ED" w:rsidRDefault="000579ED">
      <w:pPr>
        <w:spacing w:line="600" w:lineRule="exact"/>
        <w:jc w:val="left"/>
        <w:outlineLvl w:val="0"/>
        <w:rPr>
          <w:rFonts w:eastAsia="仿宋_GB2312"/>
          <w:kern w:val="0"/>
          <w:sz w:val="32"/>
          <w:szCs w:val="32"/>
        </w:rPr>
      </w:pPr>
    </w:p>
    <w:p w:rsidR="000579ED" w:rsidRDefault="000579ED">
      <w:pPr>
        <w:pStyle w:val="a0"/>
        <w:spacing w:before="93"/>
        <w:rPr>
          <w:rFonts w:ascii="Times New Roman"/>
          <w:sz w:val="32"/>
          <w:szCs w:val="32"/>
        </w:rPr>
      </w:pPr>
    </w:p>
    <w:p w:rsidR="000579ED" w:rsidRDefault="000579ED">
      <w:pPr>
        <w:pStyle w:val="a0"/>
        <w:spacing w:before="93"/>
        <w:rPr>
          <w:rFonts w:ascii="Times New Roman"/>
          <w:sz w:val="32"/>
          <w:szCs w:val="32"/>
        </w:rPr>
      </w:pPr>
    </w:p>
    <w:p w:rsidR="000579ED" w:rsidRDefault="000579ED">
      <w:pPr>
        <w:pStyle w:val="a0"/>
        <w:spacing w:before="93"/>
        <w:rPr>
          <w:rFonts w:ascii="Times New Roman"/>
          <w:sz w:val="32"/>
          <w:szCs w:val="32"/>
        </w:rPr>
      </w:pPr>
    </w:p>
    <w:p w:rsidR="000579ED" w:rsidRDefault="000579ED">
      <w:pPr>
        <w:pStyle w:val="a0"/>
        <w:spacing w:before="93"/>
        <w:rPr>
          <w:rFonts w:ascii="Times New Roman"/>
          <w:sz w:val="32"/>
          <w:szCs w:val="32"/>
        </w:rPr>
      </w:pPr>
    </w:p>
    <w:p w:rsidR="000579ED" w:rsidRDefault="000579ED">
      <w:pPr>
        <w:pStyle w:val="a0"/>
        <w:spacing w:before="93"/>
        <w:rPr>
          <w:rFonts w:ascii="Times New Roman"/>
          <w:sz w:val="32"/>
          <w:szCs w:val="32"/>
        </w:rPr>
      </w:pPr>
    </w:p>
    <w:p w:rsidR="000579ED" w:rsidRDefault="000579ED">
      <w:pPr>
        <w:pStyle w:val="a0"/>
        <w:spacing w:before="93"/>
        <w:rPr>
          <w:rFonts w:ascii="Times New Roman"/>
          <w:sz w:val="32"/>
          <w:szCs w:val="32"/>
        </w:rPr>
      </w:pPr>
    </w:p>
    <w:p w:rsidR="000579ED" w:rsidRDefault="000579ED">
      <w:pPr>
        <w:pStyle w:val="a0"/>
        <w:spacing w:before="93"/>
        <w:rPr>
          <w:rFonts w:ascii="Times New Roman"/>
          <w:sz w:val="32"/>
          <w:szCs w:val="32"/>
        </w:rPr>
      </w:pPr>
    </w:p>
    <w:p w:rsidR="000579ED" w:rsidRDefault="000579ED">
      <w:pPr>
        <w:pStyle w:val="a0"/>
        <w:spacing w:before="93"/>
        <w:rPr>
          <w:rFonts w:ascii="Times New Roman"/>
          <w:sz w:val="32"/>
          <w:szCs w:val="32"/>
        </w:rPr>
      </w:pPr>
    </w:p>
    <w:p w:rsidR="000579ED" w:rsidRDefault="000579ED">
      <w:pPr>
        <w:pStyle w:val="a0"/>
        <w:spacing w:before="93"/>
        <w:rPr>
          <w:rFonts w:ascii="Times New Roman"/>
          <w:sz w:val="32"/>
          <w:szCs w:val="32"/>
        </w:rPr>
      </w:pPr>
    </w:p>
    <w:p w:rsidR="000579ED" w:rsidRDefault="000579ED">
      <w:pPr>
        <w:pStyle w:val="a0"/>
        <w:spacing w:before="93"/>
        <w:rPr>
          <w:rFonts w:ascii="Times New Roman"/>
          <w:sz w:val="32"/>
          <w:szCs w:val="32"/>
        </w:rPr>
      </w:pPr>
    </w:p>
    <w:p w:rsidR="000579ED" w:rsidRDefault="000579ED">
      <w:pPr>
        <w:pStyle w:val="a0"/>
        <w:spacing w:before="93"/>
        <w:rPr>
          <w:rFonts w:ascii="Times New Roman"/>
          <w:sz w:val="32"/>
          <w:szCs w:val="32"/>
        </w:rPr>
      </w:pPr>
    </w:p>
    <w:p w:rsidR="000579ED" w:rsidRDefault="000579ED">
      <w:pPr>
        <w:pStyle w:val="a0"/>
        <w:spacing w:before="93"/>
        <w:rPr>
          <w:rFonts w:ascii="Times New Roman"/>
          <w:sz w:val="32"/>
          <w:szCs w:val="32"/>
        </w:rPr>
      </w:pPr>
    </w:p>
    <w:p w:rsidR="000579ED" w:rsidRDefault="000579ED">
      <w:pPr>
        <w:pStyle w:val="a0"/>
        <w:spacing w:before="93"/>
        <w:rPr>
          <w:rFonts w:ascii="Times New Roman"/>
          <w:sz w:val="32"/>
          <w:szCs w:val="32"/>
        </w:rPr>
      </w:pPr>
    </w:p>
    <w:p w:rsidR="000579ED" w:rsidRDefault="000579ED">
      <w:pPr>
        <w:pStyle w:val="a0"/>
        <w:spacing w:before="93"/>
        <w:rPr>
          <w:rFonts w:ascii="Times New Roman"/>
          <w:sz w:val="32"/>
          <w:szCs w:val="32"/>
        </w:rPr>
      </w:pPr>
    </w:p>
    <w:p w:rsidR="000579ED" w:rsidRDefault="000579ED">
      <w:pPr>
        <w:pStyle w:val="a0"/>
        <w:spacing w:before="93"/>
        <w:rPr>
          <w:rFonts w:ascii="Times New Roman"/>
          <w:sz w:val="32"/>
          <w:szCs w:val="32"/>
        </w:rPr>
      </w:pPr>
    </w:p>
    <w:p w:rsidR="000579ED" w:rsidRDefault="000579ED">
      <w:pPr>
        <w:pStyle w:val="a0"/>
        <w:spacing w:before="93"/>
        <w:rPr>
          <w:rFonts w:ascii="Times New Roman"/>
          <w:sz w:val="32"/>
          <w:szCs w:val="32"/>
        </w:rPr>
      </w:pPr>
    </w:p>
    <w:bookmarkEnd w:id="27"/>
    <w:bookmarkEnd w:id="28"/>
    <w:p w:rsidR="000579ED" w:rsidRDefault="00DD0D1D">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Char"/>
          <w:rFonts w:ascii="黑体" w:eastAsia="黑体" w:hAnsi="黑体" w:hint="eastAsia"/>
          <w:b w:val="0"/>
        </w:rPr>
        <w:t>五部分 附表</w:t>
      </w:r>
    </w:p>
    <w:p w:rsidR="000579ED" w:rsidRPr="004D0156" w:rsidRDefault="00DD0D1D">
      <w:pPr>
        <w:pStyle w:val="2"/>
        <w:rPr>
          <w:rFonts w:ascii="仿宋" w:eastAsia="仿宋" w:hAnsi="仿宋" w:cs="Times New Roman"/>
        </w:rPr>
      </w:pPr>
      <w:r w:rsidRPr="004D0156">
        <w:rPr>
          <w:rFonts w:ascii="仿宋" w:eastAsia="仿宋" w:hAnsi="仿宋" w:cs="Times New Roman" w:hint="eastAsia"/>
        </w:rPr>
        <w:t>一、收</w:t>
      </w:r>
      <w:r w:rsidRPr="004D0156">
        <w:rPr>
          <w:rStyle w:val="2Char"/>
          <w:rFonts w:ascii="仿宋" w:eastAsia="仿宋" w:hAnsi="仿宋" w:cs="Times New Roman" w:hint="eastAsia"/>
          <w:b/>
          <w:bCs/>
        </w:rPr>
        <w:t>入支出决算总表</w:t>
      </w:r>
    </w:p>
    <w:p w:rsidR="000579ED" w:rsidRDefault="00DD0D1D">
      <w:pPr>
        <w:pStyle w:val="2"/>
        <w:rPr>
          <w:rFonts w:ascii="仿宋" w:eastAsia="仿宋" w:hAnsi="仿宋" w:cs="Times New Roman"/>
        </w:rPr>
      </w:pPr>
      <w:r w:rsidRPr="004D0156">
        <w:rPr>
          <w:rFonts w:ascii="仿宋" w:eastAsia="仿宋" w:hAnsi="仿宋" w:cs="Times New Roman" w:hint="eastAsia"/>
        </w:rPr>
        <w:t>二、收</w:t>
      </w:r>
      <w:r w:rsidRPr="004D0156">
        <w:rPr>
          <w:rStyle w:val="2Char"/>
          <w:rFonts w:ascii="仿宋" w:eastAsia="仿宋" w:hAnsi="仿宋" w:cs="Times New Roman" w:hint="eastAsia"/>
          <w:b/>
          <w:bCs/>
        </w:rPr>
        <w:t>入</w:t>
      </w:r>
      <w:r>
        <w:rPr>
          <w:rStyle w:val="2Char"/>
          <w:rFonts w:ascii="仿宋" w:eastAsia="仿宋" w:hAnsi="仿宋" w:cs="Times New Roman" w:hint="eastAsia"/>
          <w:b/>
          <w:bCs/>
        </w:rPr>
        <w:t>决算表</w:t>
      </w:r>
    </w:p>
    <w:p w:rsidR="000579ED" w:rsidRDefault="00DD0D1D">
      <w:pPr>
        <w:pStyle w:val="2"/>
        <w:rPr>
          <w:rFonts w:ascii="仿宋" w:eastAsia="仿宋" w:hAnsi="仿宋" w:cs="Times New Roman"/>
        </w:rPr>
      </w:pPr>
      <w:r>
        <w:rPr>
          <w:rStyle w:val="2Char"/>
          <w:rFonts w:ascii="仿宋" w:eastAsia="仿宋" w:hAnsi="仿宋" w:cs="Times New Roman" w:hint="eastAsia"/>
          <w:b/>
          <w:bCs/>
        </w:rPr>
        <w:t>三、</w:t>
      </w:r>
      <w:r w:rsidRPr="004D0156">
        <w:rPr>
          <w:rFonts w:ascii="仿宋" w:eastAsia="仿宋" w:hAnsi="仿宋" w:cs="Times New Roman" w:hint="eastAsia"/>
        </w:rPr>
        <w:t>支</w:t>
      </w:r>
      <w:r>
        <w:rPr>
          <w:rStyle w:val="2Char"/>
          <w:rFonts w:ascii="仿宋" w:eastAsia="仿宋" w:hAnsi="仿宋" w:cs="Times New Roman" w:hint="eastAsia"/>
          <w:b/>
          <w:bCs/>
        </w:rPr>
        <w:t>出决算表</w:t>
      </w:r>
    </w:p>
    <w:p w:rsidR="000579ED" w:rsidRDefault="00DD0D1D">
      <w:pPr>
        <w:pStyle w:val="2"/>
        <w:rPr>
          <w:rFonts w:ascii="仿宋" w:eastAsia="仿宋" w:hAnsi="仿宋" w:cs="Times New Roman"/>
          <w:b w:val="0"/>
        </w:rPr>
      </w:pPr>
      <w:r>
        <w:rPr>
          <w:rStyle w:val="2Char"/>
          <w:rFonts w:ascii="仿宋" w:eastAsia="仿宋" w:hAnsi="仿宋" w:cs="Times New Roman" w:hint="eastAsia"/>
          <w:b/>
          <w:bCs/>
        </w:rPr>
        <w:t>四、</w:t>
      </w:r>
      <w:r w:rsidRPr="004D0156">
        <w:rPr>
          <w:rFonts w:ascii="仿宋" w:eastAsia="仿宋" w:hAnsi="仿宋" w:cs="Times New Roman" w:hint="eastAsia"/>
        </w:rPr>
        <w:t>财</w:t>
      </w:r>
      <w:r>
        <w:rPr>
          <w:rStyle w:val="2Char"/>
          <w:rFonts w:ascii="仿宋" w:eastAsia="仿宋" w:hAnsi="仿宋" w:cs="Times New Roman" w:hint="eastAsia"/>
          <w:b/>
          <w:bCs/>
        </w:rPr>
        <w:t>政拨款收入支出决算总表</w:t>
      </w:r>
    </w:p>
    <w:p w:rsidR="000579ED" w:rsidRDefault="00DD0D1D">
      <w:pPr>
        <w:pStyle w:val="2"/>
        <w:rPr>
          <w:rStyle w:val="2Char"/>
          <w:rFonts w:ascii="仿宋" w:eastAsia="仿宋" w:hAnsi="仿宋" w:cs="Times New Roman"/>
          <w:b/>
          <w:bCs/>
        </w:rPr>
      </w:pPr>
      <w:r>
        <w:rPr>
          <w:rStyle w:val="2Char"/>
          <w:rFonts w:ascii="仿宋" w:eastAsia="仿宋" w:hAnsi="仿宋" w:cs="Times New Roman" w:hint="eastAsia"/>
          <w:b/>
          <w:bCs/>
        </w:rPr>
        <w:t>五、</w:t>
      </w:r>
      <w:r w:rsidRPr="004D0156">
        <w:rPr>
          <w:rFonts w:ascii="仿宋" w:eastAsia="仿宋" w:hAnsi="仿宋" w:cs="Times New Roman" w:hint="eastAsia"/>
        </w:rPr>
        <w:t>财</w:t>
      </w:r>
      <w:r>
        <w:rPr>
          <w:rStyle w:val="2Char"/>
          <w:rFonts w:ascii="仿宋" w:eastAsia="仿宋" w:hAnsi="仿宋" w:cs="Times New Roman" w:hint="eastAsia"/>
          <w:b/>
          <w:bCs/>
        </w:rPr>
        <w:t>政拨款支出决算明细表</w:t>
      </w:r>
    </w:p>
    <w:p w:rsidR="000579ED" w:rsidRDefault="00DD0D1D">
      <w:pPr>
        <w:pStyle w:val="2"/>
        <w:rPr>
          <w:rFonts w:ascii="仿宋" w:eastAsia="仿宋" w:hAnsi="仿宋" w:cs="Times New Roman"/>
        </w:rPr>
      </w:pPr>
      <w:r>
        <w:rPr>
          <w:rStyle w:val="2Char"/>
          <w:rFonts w:ascii="仿宋" w:eastAsia="仿宋" w:hAnsi="仿宋" w:cs="Times New Roman" w:hint="eastAsia"/>
          <w:b/>
          <w:bCs/>
        </w:rPr>
        <w:t>六、</w:t>
      </w:r>
      <w:r>
        <w:rPr>
          <w:rFonts w:ascii="仿宋" w:eastAsia="仿宋" w:hAnsi="仿宋" w:cs="Times New Roman" w:hint="eastAsia"/>
          <w:b w:val="0"/>
        </w:rPr>
        <w:t>一</w:t>
      </w:r>
      <w:r>
        <w:rPr>
          <w:rStyle w:val="2Char"/>
          <w:rFonts w:ascii="仿宋" w:eastAsia="仿宋" w:hAnsi="仿宋" w:cs="Times New Roman" w:hint="eastAsia"/>
          <w:b/>
          <w:bCs/>
        </w:rPr>
        <w:t>般公共预算财政拨款支出决算表</w:t>
      </w:r>
    </w:p>
    <w:p w:rsidR="000579ED" w:rsidRDefault="00DD0D1D">
      <w:pPr>
        <w:pStyle w:val="2"/>
        <w:rPr>
          <w:rFonts w:ascii="仿宋" w:eastAsia="仿宋" w:hAnsi="仿宋" w:cs="Times New Roman"/>
        </w:rPr>
      </w:pPr>
      <w:r>
        <w:rPr>
          <w:rStyle w:val="2Char"/>
          <w:rFonts w:ascii="仿宋" w:eastAsia="仿宋" w:hAnsi="仿宋" w:cs="Times New Roman" w:hint="eastAsia"/>
          <w:b/>
          <w:bCs/>
        </w:rPr>
        <w:t>七、</w:t>
      </w:r>
      <w:r>
        <w:rPr>
          <w:rFonts w:ascii="仿宋" w:eastAsia="仿宋" w:hAnsi="仿宋" w:cs="Times New Roman" w:hint="eastAsia"/>
          <w:b w:val="0"/>
        </w:rPr>
        <w:t>一</w:t>
      </w:r>
      <w:r>
        <w:rPr>
          <w:rStyle w:val="2Char"/>
          <w:rFonts w:ascii="仿宋" w:eastAsia="仿宋" w:hAnsi="仿宋" w:cs="Times New Roman" w:hint="eastAsia"/>
          <w:b/>
          <w:bCs/>
        </w:rPr>
        <w:t>般公共预算财政拨款支出决算明细表</w:t>
      </w:r>
    </w:p>
    <w:p w:rsidR="000579ED" w:rsidRDefault="00DD0D1D">
      <w:pPr>
        <w:pStyle w:val="2"/>
        <w:rPr>
          <w:rFonts w:ascii="仿宋" w:eastAsia="仿宋" w:hAnsi="仿宋" w:cs="Times New Roman"/>
        </w:rPr>
      </w:pPr>
      <w:r>
        <w:rPr>
          <w:rStyle w:val="2Char"/>
          <w:rFonts w:ascii="仿宋" w:eastAsia="仿宋" w:hAnsi="仿宋" w:cs="Times New Roman" w:hint="eastAsia"/>
          <w:b/>
          <w:bCs/>
        </w:rPr>
        <w:t>八、</w:t>
      </w:r>
      <w:r>
        <w:rPr>
          <w:rFonts w:ascii="仿宋" w:eastAsia="仿宋" w:hAnsi="仿宋" w:cs="Times New Roman" w:hint="eastAsia"/>
          <w:b w:val="0"/>
        </w:rPr>
        <w:t>一</w:t>
      </w:r>
      <w:r>
        <w:rPr>
          <w:rStyle w:val="2Char"/>
          <w:rFonts w:ascii="仿宋" w:eastAsia="仿宋" w:hAnsi="仿宋" w:cs="Times New Roman" w:hint="eastAsia"/>
          <w:b/>
          <w:bCs/>
        </w:rPr>
        <w:t>般公共预算财政拨款基本支出决算表</w:t>
      </w:r>
    </w:p>
    <w:p w:rsidR="000579ED" w:rsidRDefault="00DD0D1D">
      <w:pPr>
        <w:pStyle w:val="2"/>
        <w:rPr>
          <w:rFonts w:ascii="仿宋" w:eastAsia="仿宋" w:hAnsi="仿宋" w:cs="Times New Roman"/>
        </w:rPr>
      </w:pPr>
      <w:r>
        <w:rPr>
          <w:rStyle w:val="2Char"/>
          <w:rFonts w:ascii="仿宋" w:eastAsia="仿宋" w:hAnsi="仿宋" w:cs="Times New Roman" w:hint="eastAsia"/>
          <w:b/>
          <w:bCs/>
        </w:rPr>
        <w:t>九、</w:t>
      </w:r>
      <w:r>
        <w:rPr>
          <w:rFonts w:ascii="仿宋" w:eastAsia="仿宋" w:hAnsi="仿宋" w:cs="Times New Roman" w:hint="eastAsia"/>
          <w:b w:val="0"/>
        </w:rPr>
        <w:t>一</w:t>
      </w:r>
      <w:r>
        <w:rPr>
          <w:rStyle w:val="2Char"/>
          <w:rFonts w:ascii="仿宋" w:eastAsia="仿宋" w:hAnsi="仿宋" w:cs="Times New Roman" w:hint="eastAsia"/>
          <w:b/>
          <w:bCs/>
        </w:rPr>
        <w:t>般公共预算财政拨款项目支出决算表</w:t>
      </w:r>
    </w:p>
    <w:p w:rsidR="000579ED" w:rsidRDefault="00DD0D1D">
      <w:pPr>
        <w:pStyle w:val="2"/>
        <w:rPr>
          <w:rFonts w:ascii="仿宋" w:eastAsia="仿宋" w:hAnsi="仿宋" w:cs="Times New Roman"/>
        </w:rPr>
      </w:pPr>
      <w:r>
        <w:rPr>
          <w:rStyle w:val="2Char"/>
          <w:rFonts w:ascii="仿宋" w:eastAsia="仿宋" w:hAnsi="仿宋" w:cs="Times New Roman" w:hint="eastAsia"/>
          <w:b/>
          <w:bCs/>
        </w:rPr>
        <w:t>十、</w:t>
      </w:r>
      <w:r w:rsidRPr="004D0156">
        <w:rPr>
          <w:rFonts w:ascii="仿宋" w:eastAsia="仿宋" w:hAnsi="仿宋" w:cs="Times New Roman" w:hint="eastAsia"/>
        </w:rPr>
        <w:t>政</w:t>
      </w:r>
      <w:r>
        <w:rPr>
          <w:rStyle w:val="2Char"/>
          <w:rFonts w:ascii="仿宋" w:eastAsia="仿宋" w:hAnsi="仿宋" w:cs="Times New Roman" w:hint="eastAsia"/>
          <w:b/>
          <w:bCs/>
        </w:rPr>
        <w:t>府性基金预算财政拨款收入支出决算表</w:t>
      </w:r>
    </w:p>
    <w:p w:rsidR="000579ED" w:rsidRDefault="00DD0D1D">
      <w:pPr>
        <w:pStyle w:val="2"/>
        <w:rPr>
          <w:rFonts w:ascii="仿宋" w:eastAsia="仿宋" w:hAnsi="仿宋" w:cs="Times New Roman"/>
        </w:rPr>
      </w:pPr>
      <w:r>
        <w:rPr>
          <w:rStyle w:val="2Char"/>
          <w:rFonts w:ascii="仿宋" w:eastAsia="仿宋" w:hAnsi="仿宋" w:cs="Times New Roman" w:hint="eastAsia"/>
          <w:b/>
          <w:bCs/>
        </w:rPr>
        <w:t>十一、</w:t>
      </w:r>
      <w:r w:rsidRPr="004D0156">
        <w:rPr>
          <w:rFonts w:ascii="仿宋" w:eastAsia="仿宋" w:hAnsi="仿宋" w:cs="Times New Roman" w:hint="eastAsia"/>
        </w:rPr>
        <w:t>国</w:t>
      </w:r>
      <w:r>
        <w:rPr>
          <w:rStyle w:val="2Char"/>
          <w:rFonts w:ascii="仿宋" w:eastAsia="仿宋" w:hAnsi="仿宋" w:cs="Times New Roman" w:hint="eastAsia"/>
          <w:b/>
          <w:bCs/>
        </w:rPr>
        <w:t>有资本经营预算财政拨款收入支出决算表</w:t>
      </w:r>
    </w:p>
    <w:p w:rsidR="000579ED" w:rsidRDefault="00DD0D1D">
      <w:pPr>
        <w:pStyle w:val="2"/>
        <w:rPr>
          <w:rFonts w:ascii="仿宋" w:eastAsia="仿宋" w:hAnsi="仿宋" w:cs="Times New Roman"/>
        </w:rPr>
      </w:pPr>
      <w:r>
        <w:rPr>
          <w:rStyle w:val="2Char"/>
          <w:rFonts w:ascii="仿宋" w:eastAsia="仿宋" w:hAnsi="仿宋" w:cs="Times New Roman" w:hint="eastAsia"/>
          <w:b/>
          <w:bCs/>
        </w:rPr>
        <w:t>十二、国有资本经营预算财政拨款支出决算表</w:t>
      </w:r>
    </w:p>
    <w:p w:rsidR="000579ED" w:rsidRDefault="00DD0D1D">
      <w:pPr>
        <w:pStyle w:val="2"/>
        <w:rPr>
          <w:rFonts w:ascii="仿宋_GB2312" w:eastAsia="仿宋_GB2312" w:hAnsi="Times New Roman" w:cs="Times New Roman"/>
        </w:rPr>
      </w:pPr>
      <w:r>
        <w:rPr>
          <w:rStyle w:val="2Char"/>
          <w:rFonts w:ascii="仿宋" w:eastAsia="仿宋" w:hAnsi="仿宋" w:cs="Times New Roman" w:hint="eastAsia"/>
          <w:b/>
          <w:bCs/>
        </w:rPr>
        <w:t>十三、财政拨款“三公”经费支出决算表</w:t>
      </w:r>
    </w:p>
    <w:sectPr w:rsidR="000579ED" w:rsidSect="000579ED">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94F" w:rsidRDefault="00E3494F" w:rsidP="000579ED">
      <w:r>
        <w:separator/>
      </w:r>
    </w:p>
  </w:endnote>
  <w:endnote w:type="continuationSeparator" w:id="1">
    <w:p w:rsidR="00E3494F" w:rsidRDefault="00E3494F" w:rsidP="00057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Liberation Sans">
    <w:altName w:val="微软雅黑"/>
    <w:charset w:val="00"/>
    <w:family w:val="swiss"/>
    <w:pitch w:val="default"/>
    <w:sig w:usb0="00000000" w:usb1="00000000" w:usb2="00000000" w:usb3="00000000" w:csb0="00040001" w:csb1="00000000"/>
  </w:font>
  <w:font w:name="Noto Sans CJK SC Regular">
    <w:altName w:val="宋体"/>
    <w:charset w:val="86"/>
    <w:family w:val="auto"/>
    <w:pitch w:val="default"/>
    <w:sig w:usb0="00000000" w:usb1="00000000" w:usb2="00000016" w:usb3="00000000" w:csb0="602E0107" w:csb1="00000000"/>
  </w:font>
  <w:font w:name="方正小标宋简体">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0579ED" w:rsidRDefault="00B30624">
        <w:pPr>
          <w:pStyle w:val="a6"/>
          <w:jc w:val="center"/>
        </w:pPr>
        <w:r>
          <w:fldChar w:fldCharType="begin"/>
        </w:r>
        <w:r w:rsidR="00DD0D1D">
          <w:instrText>PAGE   \* MERGEFORMAT</w:instrText>
        </w:r>
        <w:r>
          <w:fldChar w:fldCharType="separate"/>
        </w:r>
        <w:r w:rsidR="00FA3815" w:rsidRPr="00FA3815">
          <w:rPr>
            <w:noProof/>
            <w:lang w:val="zh-CN"/>
          </w:rPr>
          <w:t>2</w:t>
        </w:r>
        <w:r>
          <w:fldChar w:fldCharType="end"/>
        </w:r>
      </w:p>
    </w:sdtContent>
  </w:sdt>
  <w:p w:rsidR="000579ED" w:rsidRDefault="000579E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94F" w:rsidRDefault="00E3494F" w:rsidP="000579ED">
      <w:r>
        <w:separator/>
      </w:r>
    </w:p>
  </w:footnote>
  <w:footnote w:type="continuationSeparator" w:id="1">
    <w:p w:rsidR="00E3494F" w:rsidRDefault="00E3494F" w:rsidP="000579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9ED" w:rsidRDefault="000579ED">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8A09A"/>
    <w:multiLevelType w:val="singleLevel"/>
    <w:tmpl w:val="3818A09A"/>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IzZTM4N2Y4YTJlNmRjNjUwNjJlNTE4Njc0ZjExMDUifQ=="/>
  </w:docVars>
  <w:rsids>
    <w:rsidRoot w:val="00F1361C"/>
    <w:rsid w:val="9E3A10E2"/>
    <w:rsid w:val="F2E1F9D4"/>
    <w:rsid w:val="F7880819"/>
    <w:rsid w:val="000222C6"/>
    <w:rsid w:val="00022F68"/>
    <w:rsid w:val="0002549F"/>
    <w:rsid w:val="000468DB"/>
    <w:rsid w:val="000579ED"/>
    <w:rsid w:val="0006487A"/>
    <w:rsid w:val="00065F8F"/>
    <w:rsid w:val="00066D75"/>
    <w:rsid w:val="0006734E"/>
    <w:rsid w:val="00070A43"/>
    <w:rsid w:val="000768F2"/>
    <w:rsid w:val="0008775D"/>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093C"/>
    <w:rsid w:val="00157BAB"/>
    <w:rsid w:val="00164687"/>
    <w:rsid w:val="001654D1"/>
    <w:rsid w:val="00166E95"/>
    <w:rsid w:val="00174518"/>
    <w:rsid w:val="0018106D"/>
    <w:rsid w:val="001877A7"/>
    <w:rsid w:val="00191536"/>
    <w:rsid w:val="00196687"/>
    <w:rsid w:val="001C0962"/>
    <w:rsid w:val="001D7531"/>
    <w:rsid w:val="001E737D"/>
    <w:rsid w:val="001F0592"/>
    <w:rsid w:val="001F195C"/>
    <w:rsid w:val="001F7506"/>
    <w:rsid w:val="002006CD"/>
    <w:rsid w:val="00202B36"/>
    <w:rsid w:val="00204B7A"/>
    <w:rsid w:val="00204CDE"/>
    <w:rsid w:val="0021101A"/>
    <w:rsid w:val="00220536"/>
    <w:rsid w:val="00235629"/>
    <w:rsid w:val="00236521"/>
    <w:rsid w:val="00260950"/>
    <w:rsid w:val="00260C38"/>
    <w:rsid w:val="00260C9E"/>
    <w:rsid w:val="002616C0"/>
    <w:rsid w:val="00265372"/>
    <w:rsid w:val="002662AA"/>
    <w:rsid w:val="00280496"/>
    <w:rsid w:val="002859A8"/>
    <w:rsid w:val="00290710"/>
    <w:rsid w:val="00293475"/>
    <w:rsid w:val="00294DC9"/>
    <w:rsid w:val="00295495"/>
    <w:rsid w:val="002A31DE"/>
    <w:rsid w:val="002B2613"/>
    <w:rsid w:val="002D2962"/>
    <w:rsid w:val="002D6D05"/>
    <w:rsid w:val="002E7533"/>
    <w:rsid w:val="002F1818"/>
    <w:rsid w:val="002F567B"/>
    <w:rsid w:val="003216A9"/>
    <w:rsid w:val="0032369C"/>
    <w:rsid w:val="00335A74"/>
    <w:rsid w:val="0034475C"/>
    <w:rsid w:val="00351829"/>
    <w:rsid w:val="0036561B"/>
    <w:rsid w:val="0037013F"/>
    <w:rsid w:val="00380C92"/>
    <w:rsid w:val="003A484F"/>
    <w:rsid w:val="003A4883"/>
    <w:rsid w:val="003B0BE0"/>
    <w:rsid w:val="003B0C1B"/>
    <w:rsid w:val="003B36D7"/>
    <w:rsid w:val="003B688C"/>
    <w:rsid w:val="003C0291"/>
    <w:rsid w:val="003C39AE"/>
    <w:rsid w:val="003C7B60"/>
    <w:rsid w:val="003D0C0F"/>
    <w:rsid w:val="003D1FB2"/>
    <w:rsid w:val="003D66DA"/>
    <w:rsid w:val="003E1310"/>
    <w:rsid w:val="003E6F55"/>
    <w:rsid w:val="00401ECB"/>
    <w:rsid w:val="00406254"/>
    <w:rsid w:val="004223DE"/>
    <w:rsid w:val="00434489"/>
    <w:rsid w:val="00437085"/>
    <w:rsid w:val="00443880"/>
    <w:rsid w:val="004464F4"/>
    <w:rsid w:val="00464B39"/>
    <w:rsid w:val="00471401"/>
    <w:rsid w:val="00473F31"/>
    <w:rsid w:val="00482023"/>
    <w:rsid w:val="00482144"/>
    <w:rsid w:val="0048263A"/>
    <w:rsid w:val="00485945"/>
    <w:rsid w:val="00487E5D"/>
    <w:rsid w:val="004A2E42"/>
    <w:rsid w:val="004A711F"/>
    <w:rsid w:val="004B199D"/>
    <w:rsid w:val="004B4690"/>
    <w:rsid w:val="004C596F"/>
    <w:rsid w:val="004D0156"/>
    <w:rsid w:val="004D3B6C"/>
    <w:rsid w:val="004E0A2D"/>
    <w:rsid w:val="004E206B"/>
    <w:rsid w:val="004E6DF7"/>
    <w:rsid w:val="004F0FBD"/>
    <w:rsid w:val="00505A47"/>
    <w:rsid w:val="00512FDA"/>
    <w:rsid w:val="00520DA0"/>
    <w:rsid w:val="00556CB0"/>
    <w:rsid w:val="005664BB"/>
    <w:rsid w:val="00566FFA"/>
    <w:rsid w:val="0057481D"/>
    <w:rsid w:val="00580302"/>
    <w:rsid w:val="0058486E"/>
    <w:rsid w:val="00585B33"/>
    <w:rsid w:val="0058643C"/>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24B4A"/>
    <w:rsid w:val="00626BDF"/>
    <w:rsid w:val="00630AEF"/>
    <w:rsid w:val="006325F8"/>
    <w:rsid w:val="00633463"/>
    <w:rsid w:val="00634C9A"/>
    <w:rsid w:val="0064251A"/>
    <w:rsid w:val="006429FC"/>
    <w:rsid w:val="00643405"/>
    <w:rsid w:val="006440E4"/>
    <w:rsid w:val="0066343B"/>
    <w:rsid w:val="00664777"/>
    <w:rsid w:val="006706C6"/>
    <w:rsid w:val="006748A4"/>
    <w:rsid w:val="006811C1"/>
    <w:rsid w:val="00681A31"/>
    <w:rsid w:val="00683C0F"/>
    <w:rsid w:val="00683E73"/>
    <w:rsid w:val="006A3141"/>
    <w:rsid w:val="006A5E34"/>
    <w:rsid w:val="006B2422"/>
    <w:rsid w:val="006B2B9A"/>
    <w:rsid w:val="006C1937"/>
    <w:rsid w:val="006C43E9"/>
    <w:rsid w:val="006D7B2E"/>
    <w:rsid w:val="006F020C"/>
    <w:rsid w:val="006F1D46"/>
    <w:rsid w:val="006F5AC0"/>
    <w:rsid w:val="00706B44"/>
    <w:rsid w:val="007127B7"/>
    <w:rsid w:val="0071798E"/>
    <w:rsid w:val="007325C0"/>
    <w:rsid w:val="007416B6"/>
    <w:rsid w:val="00746F48"/>
    <w:rsid w:val="0075404D"/>
    <w:rsid w:val="0076182A"/>
    <w:rsid w:val="00767B7E"/>
    <w:rsid w:val="007770C3"/>
    <w:rsid w:val="00784D24"/>
    <w:rsid w:val="00785FBA"/>
    <w:rsid w:val="00786E4A"/>
    <w:rsid w:val="007875EB"/>
    <w:rsid w:val="0079426B"/>
    <w:rsid w:val="0079723C"/>
    <w:rsid w:val="007D1682"/>
    <w:rsid w:val="007D312A"/>
    <w:rsid w:val="007D3F19"/>
    <w:rsid w:val="007E23B0"/>
    <w:rsid w:val="007E23E5"/>
    <w:rsid w:val="007E7F12"/>
    <w:rsid w:val="007F1991"/>
    <w:rsid w:val="007F2BDF"/>
    <w:rsid w:val="007F2C2F"/>
    <w:rsid w:val="007F55FC"/>
    <w:rsid w:val="007F5665"/>
    <w:rsid w:val="007F7822"/>
    <w:rsid w:val="00800112"/>
    <w:rsid w:val="00813348"/>
    <w:rsid w:val="008253BB"/>
    <w:rsid w:val="00827B61"/>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352F"/>
    <w:rsid w:val="008E4656"/>
    <w:rsid w:val="008E707C"/>
    <w:rsid w:val="008F44C2"/>
    <w:rsid w:val="00900B08"/>
    <w:rsid w:val="00902155"/>
    <w:rsid w:val="00902FA3"/>
    <w:rsid w:val="00923564"/>
    <w:rsid w:val="0092392E"/>
    <w:rsid w:val="009315F9"/>
    <w:rsid w:val="00933499"/>
    <w:rsid w:val="00935C98"/>
    <w:rsid w:val="00937E2D"/>
    <w:rsid w:val="00946945"/>
    <w:rsid w:val="00951248"/>
    <w:rsid w:val="0095152F"/>
    <w:rsid w:val="00954C49"/>
    <w:rsid w:val="00955E37"/>
    <w:rsid w:val="009641D5"/>
    <w:rsid w:val="0097099F"/>
    <w:rsid w:val="0097177B"/>
    <w:rsid w:val="00971997"/>
    <w:rsid w:val="00971FFC"/>
    <w:rsid w:val="00980214"/>
    <w:rsid w:val="00983003"/>
    <w:rsid w:val="0098660A"/>
    <w:rsid w:val="009931C3"/>
    <w:rsid w:val="009B2C43"/>
    <w:rsid w:val="009B4EAE"/>
    <w:rsid w:val="009B7573"/>
    <w:rsid w:val="009C22F4"/>
    <w:rsid w:val="009C2A4B"/>
    <w:rsid w:val="009C2E98"/>
    <w:rsid w:val="009D3447"/>
    <w:rsid w:val="009D4711"/>
    <w:rsid w:val="009F1185"/>
    <w:rsid w:val="009F18CD"/>
    <w:rsid w:val="009F2774"/>
    <w:rsid w:val="009F2824"/>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0122"/>
    <w:rsid w:val="00A733B2"/>
    <w:rsid w:val="00A741C2"/>
    <w:rsid w:val="00A91760"/>
    <w:rsid w:val="00A93B00"/>
    <w:rsid w:val="00A93C21"/>
    <w:rsid w:val="00A960D7"/>
    <w:rsid w:val="00AB64C9"/>
    <w:rsid w:val="00AB70D6"/>
    <w:rsid w:val="00AC3C6A"/>
    <w:rsid w:val="00AD5620"/>
    <w:rsid w:val="00AD656B"/>
    <w:rsid w:val="00AD7C1B"/>
    <w:rsid w:val="00AE16BA"/>
    <w:rsid w:val="00AE1EBE"/>
    <w:rsid w:val="00B0048A"/>
    <w:rsid w:val="00B03C9D"/>
    <w:rsid w:val="00B060AE"/>
    <w:rsid w:val="00B10517"/>
    <w:rsid w:val="00B14E76"/>
    <w:rsid w:val="00B161B8"/>
    <w:rsid w:val="00B16CEB"/>
    <w:rsid w:val="00B2048C"/>
    <w:rsid w:val="00B30624"/>
    <w:rsid w:val="00B310B9"/>
    <w:rsid w:val="00B35F3F"/>
    <w:rsid w:val="00B36CBB"/>
    <w:rsid w:val="00B425E0"/>
    <w:rsid w:val="00B440AA"/>
    <w:rsid w:val="00B44B70"/>
    <w:rsid w:val="00B53C56"/>
    <w:rsid w:val="00B57DAF"/>
    <w:rsid w:val="00B65F2B"/>
    <w:rsid w:val="00B77EA6"/>
    <w:rsid w:val="00B81598"/>
    <w:rsid w:val="00B841F1"/>
    <w:rsid w:val="00B92C82"/>
    <w:rsid w:val="00B944D6"/>
    <w:rsid w:val="00BB4DF0"/>
    <w:rsid w:val="00BB7F2B"/>
    <w:rsid w:val="00BC2261"/>
    <w:rsid w:val="00BC289F"/>
    <w:rsid w:val="00BC2D50"/>
    <w:rsid w:val="00BC5361"/>
    <w:rsid w:val="00BC5460"/>
    <w:rsid w:val="00BC6B50"/>
    <w:rsid w:val="00BD0E25"/>
    <w:rsid w:val="00BE7FD1"/>
    <w:rsid w:val="00BF5BD6"/>
    <w:rsid w:val="00C03E31"/>
    <w:rsid w:val="00C07EA7"/>
    <w:rsid w:val="00C33E72"/>
    <w:rsid w:val="00C354B2"/>
    <w:rsid w:val="00C35554"/>
    <w:rsid w:val="00C42709"/>
    <w:rsid w:val="00C533CC"/>
    <w:rsid w:val="00C53983"/>
    <w:rsid w:val="00C5751C"/>
    <w:rsid w:val="00C61BFC"/>
    <w:rsid w:val="00C62B85"/>
    <w:rsid w:val="00C65438"/>
    <w:rsid w:val="00C71158"/>
    <w:rsid w:val="00C7524A"/>
    <w:rsid w:val="00C87FD8"/>
    <w:rsid w:val="00C91381"/>
    <w:rsid w:val="00C91CBB"/>
    <w:rsid w:val="00C94DAA"/>
    <w:rsid w:val="00CA1798"/>
    <w:rsid w:val="00CB4E70"/>
    <w:rsid w:val="00CC09B6"/>
    <w:rsid w:val="00CC666F"/>
    <w:rsid w:val="00CD1E3F"/>
    <w:rsid w:val="00CE44F6"/>
    <w:rsid w:val="00CE49DA"/>
    <w:rsid w:val="00CE7B61"/>
    <w:rsid w:val="00D00095"/>
    <w:rsid w:val="00D114F0"/>
    <w:rsid w:val="00D20620"/>
    <w:rsid w:val="00D254F7"/>
    <w:rsid w:val="00D26091"/>
    <w:rsid w:val="00D2685C"/>
    <w:rsid w:val="00D32545"/>
    <w:rsid w:val="00D34E7C"/>
    <w:rsid w:val="00D35489"/>
    <w:rsid w:val="00D36AFE"/>
    <w:rsid w:val="00D51276"/>
    <w:rsid w:val="00D65C48"/>
    <w:rsid w:val="00D7035F"/>
    <w:rsid w:val="00D752B0"/>
    <w:rsid w:val="00DA634F"/>
    <w:rsid w:val="00DA6544"/>
    <w:rsid w:val="00DA65AC"/>
    <w:rsid w:val="00DB1913"/>
    <w:rsid w:val="00DB3546"/>
    <w:rsid w:val="00DC410D"/>
    <w:rsid w:val="00DC5A81"/>
    <w:rsid w:val="00DC68CA"/>
    <w:rsid w:val="00DC7CBA"/>
    <w:rsid w:val="00DD0D1D"/>
    <w:rsid w:val="00DD73B7"/>
    <w:rsid w:val="00DF28BC"/>
    <w:rsid w:val="00DF34B9"/>
    <w:rsid w:val="00E01053"/>
    <w:rsid w:val="00E07ACF"/>
    <w:rsid w:val="00E331A1"/>
    <w:rsid w:val="00E33202"/>
    <w:rsid w:val="00E336A9"/>
    <w:rsid w:val="00E3494F"/>
    <w:rsid w:val="00E4694A"/>
    <w:rsid w:val="00E472B1"/>
    <w:rsid w:val="00E50624"/>
    <w:rsid w:val="00E50A2D"/>
    <w:rsid w:val="00E568DF"/>
    <w:rsid w:val="00E60AE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2BCC"/>
    <w:rsid w:val="00F1361C"/>
    <w:rsid w:val="00F156F0"/>
    <w:rsid w:val="00F160C7"/>
    <w:rsid w:val="00F2408F"/>
    <w:rsid w:val="00F240E9"/>
    <w:rsid w:val="00F26406"/>
    <w:rsid w:val="00F2699E"/>
    <w:rsid w:val="00F317E8"/>
    <w:rsid w:val="00F36D8F"/>
    <w:rsid w:val="00F417B1"/>
    <w:rsid w:val="00F45853"/>
    <w:rsid w:val="00F515E0"/>
    <w:rsid w:val="00F602DF"/>
    <w:rsid w:val="00F754A1"/>
    <w:rsid w:val="00F81FD9"/>
    <w:rsid w:val="00F841AA"/>
    <w:rsid w:val="00F84A94"/>
    <w:rsid w:val="00F87E96"/>
    <w:rsid w:val="00FA23E8"/>
    <w:rsid w:val="00FA3815"/>
    <w:rsid w:val="00FC2A29"/>
    <w:rsid w:val="00FD3CC1"/>
    <w:rsid w:val="00FF1E02"/>
    <w:rsid w:val="00FF30B4"/>
    <w:rsid w:val="053A62B5"/>
    <w:rsid w:val="0A2032A3"/>
    <w:rsid w:val="0B8A37D8"/>
    <w:rsid w:val="10C055FF"/>
    <w:rsid w:val="118107EC"/>
    <w:rsid w:val="11DD6519"/>
    <w:rsid w:val="16BB723D"/>
    <w:rsid w:val="18015F3F"/>
    <w:rsid w:val="18ED40EC"/>
    <w:rsid w:val="1BE8440E"/>
    <w:rsid w:val="1D155CEE"/>
    <w:rsid w:val="20F57F95"/>
    <w:rsid w:val="240371BF"/>
    <w:rsid w:val="25711CC6"/>
    <w:rsid w:val="25C741E6"/>
    <w:rsid w:val="27842671"/>
    <w:rsid w:val="29FD04D3"/>
    <w:rsid w:val="2ABE7A3E"/>
    <w:rsid w:val="2CA234A8"/>
    <w:rsid w:val="2EFA178C"/>
    <w:rsid w:val="30B46D73"/>
    <w:rsid w:val="319F7F4E"/>
    <w:rsid w:val="37D22DCA"/>
    <w:rsid w:val="383D272C"/>
    <w:rsid w:val="39AE70AB"/>
    <w:rsid w:val="3C0C0783"/>
    <w:rsid w:val="3F9F3A96"/>
    <w:rsid w:val="48BF60AB"/>
    <w:rsid w:val="493C27E9"/>
    <w:rsid w:val="496F39ED"/>
    <w:rsid w:val="49FF41D3"/>
    <w:rsid w:val="4BE068DB"/>
    <w:rsid w:val="4BF6002B"/>
    <w:rsid w:val="4ECE2238"/>
    <w:rsid w:val="51DB4B86"/>
    <w:rsid w:val="55333C3E"/>
    <w:rsid w:val="64CA39A1"/>
    <w:rsid w:val="69630ADE"/>
    <w:rsid w:val="6C4A05C8"/>
    <w:rsid w:val="6D3B1A89"/>
    <w:rsid w:val="71BF4EC2"/>
    <w:rsid w:val="72734D90"/>
    <w:rsid w:val="7412278C"/>
    <w:rsid w:val="79E7B28D"/>
    <w:rsid w:val="7F9F2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semiHidden="0"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579ED"/>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0579E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579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579E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579ED"/>
    <w:pPr>
      <w:spacing w:beforeLines="30"/>
    </w:pPr>
    <w:rPr>
      <w:rFonts w:ascii="仿宋_GB2312" w:eastAsia="仿宋_GB2312"/>
      <w:kern w:val="0"/>
      <w:sz w:val="30"/>
    </w:rPr>
  </w:style>
  <w:style w:type="paragraph" w:styleId="a4">
    <w:name w:val="caption"/>
    <w:basedOn w:val="a"/>
    <w:next w:val="a"/>
    <w:uiPriority w:val="35"/>
    <w:unhideWhenUsed/>
    <w:qFormat/>
    <w:rsid w:val="000579ED"/>
    <w:rPr>
      <w:rFonts w:asciiTheme="majorHAnsi" w:eastAsia="黑体" w:hAnsiTheme="majorHAnsi" w:cstheme="majorBidi"/>
      <w:sz w:val="20"/>
      <w:szCs w:val="20"/>
    </w:rPr>
  </w:style>
  <w:style w:type="paragraph" w:styleId="30">
    <w:name w:val="toc 3"/>
    <w:basedOn w:val="a"/>
    <w:next w:val="a"/>
    <w:uiPriority w:val="39"/>
    <w:unhideWhenUsed/>
    <w:qFormat/>
    <w:rsid w:val="000579ED"/>
    <w:pPr>
      <w:tabs>
        <w:tab w:val="right" w:leader="dot" w:pos="8296"/>
      </w:tabs>
      <w:ind w:leftChars="400" w:left="840"/>
    </w:pPr>
  </w:style>
  <w:style w:type="paragraph" w:styleId="a5">
    <w:name w:val="Balloon Text"/>
    <w:basedOn w:val="a"/>
    <w:link w:val="Char0"/>
    <w:uiPriority w:val="99"/>
    <w:semiHidden/>
    <w:unhideWhenUsed/>
    <w:qFormat/>
    <w:rsid w:val="000579ED"/>
    <w:rPr>
      <w:sz w:val="18"/>
      <w:szCs w:val="18"/>
    </w:rPr>
  </w:style>
  <w:style w:type="paragraph" w:styleId="a6">
    <w:name w:val="footer"/>
    <w:basedOn w:val="a"/>
    <w:link w:val="Char1"/>
    <w:uiPriority w:val="99"/>
    <w:qFormat/>
    <w:rsid w:val="000579ED"/>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0579E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0579ED"/>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0579ED"/>
    <w:pPr>
      <w:tabs>
        <w:tab w:val="right" w:leader="dot" w:pos="8296"/>
      </w:tabs>
      <w:ind w:leftChars="200" w:left="420"/>
    </w:pPr>
  </w:style>
  <w:style w:type="character" w:styleId="a8">
    <w:name w:val="Strong"/>
    <w:basedOn w:val="a1"/>
    <w:uiPriority w:val="99"/>
    <w:qFormat/>
    <w:rsid w:val="000579ED"/>
    <w:rPr>
      <w:b/>
    </w:rPr>
  </w:style>
  <w:style w:type="character" w:styleId="a9">
    <w:name w:val="Hyperlink"/>
    <w:basedOn w:val="a1"/>
    <w:uiPriority w:val="99"/>
    <w:unhideWhenUsed/>
    <w:qFormat/>
    <w:rsid w:val="000579ED"/>
    <w:rPr>
      <w:color w:val="FFDE66" w:themeColor="hyperlink"/>
      <w:u w:val="single"/>
    </w:rPr>
  </w:style>
  <w:style w:type="character" w:customStyle="1" w:styleId="HeaderChar">
    <w:name w:val="Header Char"/>
    <w:basedOn w:val="a1"/>
    <w:uiPriority w:val="99"/>
    <w:semiHidden/>
    <w:qFormat/>
    <w:rsid w:val="000579ED"/>
    <w:rPr>
      <w:rFonts w:ascii="Times New Roman" w:hAnsi="Times New Roman"/>
      <w:sz w:val="18"/>
      <w:szCs w:val="18"/>
    </w:rPr>
  </w:style>
  <w:style w:type="character" w:customStyle="1" w:styleId="Char2">
    <w:name w:val="页眉 Char"/>
    <w:link w:val="a7"/>
    <w:uiPriority w:val="99"/>
    <w:semiHidden/>
    <w:qFormat/>
    <w:locked/>
    <w:rsid w:val="000579ED"/>
    <w:rPr>
      <w:sz w:val="18"/>
    </w:rPr>
  </w:style>
  <w:style w:type="character" w:customStyle="1" w:styleId="FooterChar">
    <w:name w:val="Footer Char"/>
    <w:basedOn w:val="a1"/>
    <w:uiPriority w:val="99"/>
    <w:semiHidden/>
    <w:qFormat/>
    <w:rsid w:val="000579ED"/>
    <w:rPr>
      <w:rFonts w:ascii="Times New Roman" w:hAnsi="Times New Roman"/>
      <w:sz w:val="18"/>
      <w:szCs w:val="18"/>
    </w:rPr>
  </w:style>
  <w:style w:type="character" w:customStyle="1" w:styleId="Char1">
    <w:name w:val="页脚 Char"/>
    <w:link w:val="a6"/>
    <w:uiPriority w:val="99"/>
    <w:qFormat/>
    <w:locked/>
    <w:rsid w:val="000579ED"/>
    <w:rPr>
      <w:sz w:val="18"/>
    </w:rPr>
  </w:style>
  <w:style w:type="character" w:customStyle="1" w:styleId="BodyTextChar">
    <w:name w:val="Body Text Char"/>
    <w:basedOn w:val="a1"/>
    <w:uiPriority w:val="99"/>
    <w:semiHidden/>
    <w:qFormat/>
    <w:rsid w:val="000579ED"/>
    <w:rPr>
      <w:rFonts w:ascii="Times New Roman" w:hAnsi="Times New Roman"/>
      <w:szCs w:val="24"/>
    </w:rPr>
  </w:style>
  <w:style w:type="character" w:customStyle="1" w:styleId="Char">
    <w:name w:val="正文文本 Char"/>
    <w:link w:val="a0"/>
    <w:uiPriority w:val="99"/>
    <w:qFormat/>
    <w:locked/>
    <w:rsid w:val="000579ED"/>
    <w:rPr>
      <w:rFonts w:ascii="仿宋_GB2312" w:eastAsia="仿宋_GB2312" w:hAnsi="Times New Roman"/>
      <w:sz w:val="24"/>
    </w:rPr>
  </w:style>
  <w:style w:type="paragraph" w:customStyle="1" w:styleId="Default">
    <w:name w:val="Default"/>
    <w:qFormat/>
    <w:rsid w:val="000579ED"/>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rsid w:val="000579ED"/>
    <w:pPr>
      <w:ind w:firstLineChars="200" w:firstLine="420"/>
    </w:pPr>
  </w:style>
  <w:style w:type="character" w:customStyle="1" w:styleId="1Char">
    <w:name w:val="标题 1 Char"/>
    <w:basedOn w:val="a1"/>
    <w:link w:val="1"/>
    <w:uiPriority w:val="9"/>
    <w:qFormat/>
    <w:rsid w:val="000579ED"/>
    <w:rPr>
      <w:rFonts w:ascii="Times New Roman" w:hAnsi="Times New Roman"/>
      <w:b/>
      <w:bCs/>
      <w:kern w:val="44"/>
      <w:sz w:val="44"/>
      <w:szCs w:val="44"/>
    </w:rPr>
  </w:style>
  <w:style w:type="character" w:customStyle="1" w:styleId="2Char">
    <w:name w:val="标题 2 Char"/>
    <w:basedOn w:val="a1"/>
    <w:link w:val="2"/>
    <w:uiPriority w:val="9"/>
    <w:qFormat/>
    <w:rsid w:val="000579ED"/>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0579ED"/>
    <w:pPr>
      <w:widowControl/>
      <w:spacing w:before="480" w:after="0" w:line="276" w:lineRule="auto"/>
      <w:jc w:val="left"/>
      <w:outlineLvl w:val="9"/>
    </w:pPr>
    <w:rPr>
      <w:rFonts w:asciiTheme="majorHAnsi" w:eastAsiaTheme="majorEastAsia" w:hAnsiTheme="majorHAnsi" w:cstheme="majorBidi"/>
      <w:color w:val="892D4D" w:themeColor="accent1" w:themeShade="BF"/>
      <w:kern w:val="0"/>
      <w:sz w:val="28"/>
      <w:szCs w:val="28"/>
    </w:rPr>
  </w:style>
  <w:style w:type="character" w:customStyle="1" w:styleId="Char0">
    <w:name w:val="批注框文本 Char"/>
    <w:basedOn w:val="a1"/>
    <w:link w:val="a5"/>
    <w:uiPriority w:val="99"/>
    <w:semiHidden/>
    <w:qFormat/>
    <w:rsid w:val="000579ED"/>
    <w:rPr>
      <w:rFonts w:ascii="Times New Roman" w:hAnsi="Times New Roman"/>
      <w:kern w:val="2"/>
      <w:sz w:val="18"/>
      <w:szCs w:val="18"/>
    </w:rPr>
  </w:style>
  <w:style w:type="character" w:customStyle="1" w:styleId="3Char">
    <w:name w:val="标题 3 Char"/>
    <w:basedOn w:val="a1"/>
    <w:link w:val="3"/>
    <w:uiPriority w:val="9"/>
    <w:qFormat/>
    <w:rsid w:val="000579ED"/>
    <w:rPr>
      <w:rFonts w:ascii="Times New Roman" w:hAnsi="Times New Roman"/>
      <w:b/>
      <w:bCs/>
      <w:kern w:val="2"/>
      <w:sz w:val="32"/>
      <w:szCs w:val="32"/>
    </w:rPr>
  </w:style>
  <w:style w:type="paragraph" w:customStyle="1" w:styleId="TOC2">
    <w:name w:val="TOC 标题2"/>
    <w:basedOn w:val="1"/>
    <w:next w:val="a"/>
    <w:uiPriority w:val="39"/>
    <w:unhideWhenUsed/>
    <w:qFormat/>
    <w:rsid w:val="000579ED"/>
    <w:pPr>
      <w:widowControl/>
      <w:spacing w:before="480" w:after="0" w:line="276" w:lineRule="auto"/>
      <w:jc w:val="left"/>
      <w:outlineLvl w:val="9"/>
    </w:pPr>
    <w:rPr>
      <w:rFonts w:asciiTheme="majorHAnsi" w:eastAsiaTheme="majorEastAsia" w:hAnsiTheme="majorHAnsi" w:cstheme="majorBidi"/>
      <w:color w:val="892D4D" w:themeColor="accent1" w:themeShade="BF"/>
      <w:kern w:val="0"/>
      <w:sz w:val="28"/>
      <w:szCs w:val="28"/>
    </w:rPr>
  </w:style>
  <w:style w:type="paragraph" w:customStyle="1" w:styleId="Heading">
    <w:name w:val="Heading"/>
    <w:basedOn w:val="a"/>
    <w:next w:val="a0"/>
    <w:rsid w:val="000579ED"/>
    <w:pPr>
      <w:keepNext/>
      <w:suppressAutoHyphens/>
      <w:spacing w:before="240" w:after="120"/>
    </w:pPr>
    <w:rPr>
      <w:rFonts w:ascii="Liberation Sans" w:eastAsia="Noto Sans CJK SC Regular" w:hAnsi="Liberation Sans" w:cs="Noto Sans CJK SC Regular"/>
      <w:sz w:val="28"/>
      <w:szCs w:val="28"/>
    </w:rPr>
  </w:style>
  <w:style w:type="character" w:customStyle="1" w:styleId="15">
    <w:name w:val="15"/>
    <w:basedOn w:val="a1"/>
    <w:rsid w:val="000579ED"/>
    <w:rPr>
      <w:rFonts w:ascii="Calibri" w:hAnsi="Calibri" w:cs="Calibri" w:hint="default"/>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34"/>
  <c:chart>
    <c:title>
      <c:tx>
        <c:rich>
          <a:bodyPr rot="0" spcFirstLastPara="0" vertOverflow="ellipsis" vert="horz" wrap="square" anchor="ctr" anchorCtr="1"/>
          <a:lstStyle/>
          <a:p>
            <a:pPr algn="r">
              <a:defRPr lang="zh-CN" sz="1800" b="1" i="0" u="none" strike="noStrike" kern="1200" baseline="0">
                <a:solidFill>
                  <a:schemeClr val="dk1"/>
                </a:solidFill>
                <a:latin typeface="+mn-lt"/>
                <a:ea typeface="+mn-ea"/>
                <a:cs typeface="+mn-cs"/>
              </a:defRPr>
            </a:pPr>
            <a:r>
              <a:rPr lang="zh-CN"/>
              <a:t>图</a:t>
            </a:r>
            <a:r>
              <a:rPr lang="en-US"/>
              <a:t>1</a:t>
            </a:r>
            <a:r>
              <a:rPr lang="zh-CN"/>
              <a:t>：收、支决算总计变动情况图</a:t>
            </a:r>
            <a:r>
              <a:rPr lang="en-US"/>
              <a:t>                                                                                                        </a:t>
            </a:r>
            <a:r>
              <a:rPr lang="zh-CN" sz="1200"/>
              <a:t>单位：万元</a:t>
            </a:r>
          </a:p>
        </c:rich>
      </c:tx>
      <c:layout>
        <c:manualLayout>
          <c:xMode val="edge"/>
          <c:yMode val="edge"/>
          <c:x val="0.17015037380255288"/>
          <c:y val="2.4767801857585103E-2"/>
        </c:manualLayout>
      </c:layout>
    </c:title>
    <c:plotArea>
      <c:layout/>
      <c:barChart>
        <c:barDir val="col"/>
        <c:grouping val="clustered"/>
        <c:ser>
          <c:idx val="0"/>
          <c:order val="0"/>
          <c:tx>
            <c:strRef>
              <c:f>Sheet1!$B$1</c:f>
              <c:strCache>
                <c:ptCount val="1"/>
                <c:pt idx="0">
                  <c:v>2022年</c:v>
                </c:pt>
              </c:strCache>
            </c:strRef>
          </c:tx>
          <c:dLbls>
            <c:dLbl>
              <c:idx val="0"/>
              <c:tx>
                <c:rich>
                  <a:bodyPr/>
                  <a:lstStyle/>
                  <a:p>
                    <a:r>
                      <a:rPr lang="en-US" altLang="en-US"/>
                      <a:t>387.46</a:t>
                    </a:r>
                  </a:p>
                </c:rich>
              </c:tx>
              <c:dLblPos val="outEnd"/>
              <c:showVal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Sheet1!$B$2:$B$3</c:f>
              <c:numCache>
                <c:formatCode>General</c:formatCode>
                <c:ptCount val="2"/>
                <c:pt idx="0">
                  <c:v>387.46</c:v>
                </c:pt>
                <c:pt idx="1">
                  <c:v>387.46</c:v>
                </c:pt>
              </c:numCache>
            </c:numRef>
          </c:val>
        </c:ser>
        <c:ser>
          <c:idx val="1"/>
          <c:order val="1"/>
          <c:tx>
            <c:strRef>
              <c:f>Sheet1!$C$1</c:f>
              <c:strCache>
                <c:ptCount val="1"/>
                <c:pt idx="0">
                  <c:v>2023年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Sheet1!$C$2:$C$3</c:f>
              <c:numCache>
                <c:formatCode>General</c:formatCode>
                <c:ptCount val="2"/>
                <c:pt idx="0">
                  <c:v>474.55</c:v>
                </c:pt>
                <c:pt idx="1">
                  <c:v>474.55</c:v>
                </c:pt>
              </c:numCache>
            </c:numRef>
          </c:val>
        </c:ser>
        <c:dLbls>
          <c:showVal val="1"/>
        </c:dLbls>
        <c:gapWidth val="196"/>
        <c:overlap val="11"/>
        <c:axId val="208393728"/>
        <c:axId val="208395264"/>
      </c:barChart>
      <c:catAx>
        <c:axId val="208393728"/>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dk1"/>
                </a:solidFill>
                <a:latin typeface="+mn-lt"/>
                <a:ea typeface="+mn-ea"/>
                <a:cs typeface="+mn-cs"/>
              </a:defRPr>
            </a:pPr>
            <a:endParaRPr lang="zh-CN"/>
          </a:p>
        </c:txPr>
        <c:crossAx val="208395264"/>
        <c:crosses val="autoZero"/>
        <c:auto val="1"/>
        <c:lblAlgn val="ctr"/>
        <c:lblOffset val="100"/>
      </c:catAx>
      <c:valAx>
        <c:axId val="208395264"/>
        <c:scaling>
          <c:orientation val="minMax"/>
        </c:scaling>
        <c:axPos val="l"/>
        <c:majorGridlines/>
        <c:numFmt formatCode="General" sourceLinked="1"/>
        <c:majorTickMark val="none"/>
        <c:tickLblPos val="nextTo"/>
        <c:txPr>
          <a:bodyPr rot="-60000000" spcFirstLastPara="0" vertOverflow="ellipsis" vert="horz" wrap="square" anchor="ctr" anchorCtr="1"/>
          <a:lstStyle/>
          <a:p>
            <a:pPr>
              <a:defRPr lang="zh-CN" sz="1000" b="0" i="0" u="none" strike="noStrike" kern="1200" baseline="0">
                <a:solidFill>
                  <a:schemeClr val="dk1"/>
                </a:solidFill>
                <a:latin typeface="+mn-lt"/>
                <a:ea typeface="+mn-ea"/>
                <a:cs typeface="+mn-cs"/>
              </a:defRPr>
            </a:pPr>
            <a:endParaRPr lang="zh-CN"/>
          </a:p>
        </c:txPr>
        <c:crossAx val="208393728"/>
        <c:crosses val="autoZero"/>
        <c:crossBetween val="between"/>
      </c:valAx>
      <c:spPr>
        <a:noFill/>
      </c:spPr>
    </c:plotArea>
    <c:legend>
      <c:legendPos val="r"/>
      <c:txPr>
        <a:bodyPr rot="0" spcFirstLastPara="0" vertOverflow="ellipsis" vert="horz" wrap="square" anchor="ctr" anchorCtr="1"/>
        <a:lstStyle/>
        <a:p>
          <a:pPr>
            <a:defRPr lang="zh-CN" sz="1000" b="0" i="0" u="none" strike="noStrike" kern="1200" baseline="0">
              <a:solidFill>
                <a:schemeClr val="dk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图</a:t>
            </a:r>
            <a:r>
              <a:rPr lang="en-US"/>
              <a:t>2</a:t>
            </a:r>
            <a:r>
              <a:rPr lang="zh-CN"/>
              <a:t>：收入决算结构图</a:t>
            </a:r>
          </a:p>
        </c:rich>
      </c:tx>
    </c:title>
    <c:plotArea>
      <c:layout/>
      <c:pieChart>
        <c:varyColors val="1"/>
        <c:ser>
          <c:idx val="0"/>
          <c:order val="0"/>
          <c:tx>
            <c:strRef>
              <c:f>Sheet1!$B$1</c:f>
              <c:strCache>
                <c:ptCount val="1"/>
                <c:pt idx="0">
                  <c:v>本年收入</c:v>
                </c:pt>
              </c:strCache>
            </c:strRef>
          </c:tx>
          <c:dLbls>
            <c:dLbl>
              <c:idx val="2"/>
              <c:layout>
                <c:manualLayout>
                  <c:x val="0.18590086888958401"/>
                  <c:y val="5.9532759643434789E-2"/>
                </c:manualLayout>
              </c:layout>
              <c:dLblPos val="bestFit"/>
              <c:showVal val="1"/>
              <c:extLst>
                <c:ext xmlns:c15="http://schemas.microsoft.com/office/drawing/2012/chart" uri="{CE6537A1-D6FC-4f65-9D91-7224C49458BB}">
                  <c15:layout/>
                </c:ext>
              </c:extLst>
            </c:dLbl>
            <c:dLbl>
              <c:idx val="3"/>
              <c:layout>
                <c:manualLayout>
                  <c:x val="-0.19165600689805487"/>
                  <c:y val="-1.0642678953056603E-2"/>
                </c:manualLayout>
              </c:layout>
              <c:dLblPos val="bestFit"/>
              <c:showVal val="1"/>
              <c:extLst>
                <c:ext xmlns:c15="http://schemas.microsoft.com/office/drawing/2012/chart" uri="{CE6537A1-D6FC-4f65-9D91-7224C49458BB}">
                  <c15:layout/>
                </c:ext>
              </c:extLst>
            </c:dLbl>
            <c:dLbl>
              <c:idx val="4"/>
              <c:layout>
                <c:manualLayout>
                  <c:x val="-0.11915309322796698"/>
                  <c:y val="-2.3867450005281778E-3"/>
                </c:manualLayout>
              </c:layout>
              <c:dLblPos val="bestFit"/>
              <c:showVal val="1"/>
              <c:extLst>
                <c:ext xmlns:c15="http://schemas.microsoft.com/office/drawing/2012/chart" uri="{CE6537A1-D6FC-4f65-9D91-7224C49458BB}">
                  <c15:layout/>
                </c:ext>
              </c:extLst>
            </c:dLbl>
            <c:dLbl>
              <c:idx val="5"/>
              <c:layout>
                <c:manualLayout>
                  <c:x val="6.5564114954944908E-2"/>
                  <c:y val="1.41251229045286E-2"/>
                </c:manualLayout>
              </c:layout>
              <c:dLblPos val="bestFit"/>
              <c:showVal val="1"/>
              <c:extLst>
                <c:ext xmlns:c15="http://schemas.microsoft.com/office/drawing/2012/chart" uri="{CE6537A1-D6FC-4f65-9D91-7224C49458BB}">
                  <c15:layout/>
                </c:ext>
              </c:extLst>
            </c:dLbl>
            <c:dLbl>
              <c:idx val="6"/>
              <c:layout>
                <c:manualLayout>
                  <c:x val="0.123927532524138"/>
                  <c:y val="2.4445040345189139E-2"/>
                </c:manualLayout>
              </c:layout>
              <c:dLblPos val="bestFit"/>
              <c:showVal val="1"/>
              <c:extLst>
                <c:ext xmlns:c15="http://schemas.microsoft.com/office/drawing/2012/chart" uri="{CE6537A1-D6FC-4f65-9D91-7224C49458BB}">
                  <c15:layout/>
                </c:ext>
              </c:extLst>
            </c:dLbl>
            <c:dLbl>
              <c:idx val="7"/>
              <c:layout>
                <c:manualLayout>
                  <c:x val="-5.5374513203900112E-2"/>
                  <c:y val="-2.3867450005281778E-3"/>
                </c:manualLayout>
              </c:layout>
              <c:dLblPos val="bestFit"/>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0%</c:formatCode>
                <c:ptCount val="8"/>
                <c:pt idx="0">
                  <c:v>1</c:v>
                </c:pt>
                <c:pt idx="1">
                  <c:v>0</c:v>
                </c:pt>
                <c:pt idx="2">
                  <c:v>0</c:v>
                </c:pt>
                <c:pt idx="3">
                  <c:v>0</c:v>
                </c:pt>
                <c:pt idx="4">
                  <c:v>0</c:v>
                </c:pt>
                <c:pt idx="5">
                  <c:v>0</c:v>
                </c:pt>
                <c:pt idx="6">
                  <c:v>0</c:v>
                </c:pt>
                <c:pt idx="7">
                  <c:v>0</c:v>
                </c:pt>
              </c:numCache>
            </c:numRef>
          </c:val>
        </c:ser>
        <c:dLbls>
          <c:showVal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spPr>
    <a:ln w="9525" cap="flat" cmpd="sng" algn="ctr">
      <a:solidFill>
        <a:schemeClr val="tx1"/>
      </a:solidFill>
      <a:prstDash val="solid"/>
      <a:round/>
    </a:ln>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图</a:t>
            </a:r>
            <a:r>
              <a:rPr lang="en-US" altLang="zh-CN" sz="1800" b="1" i="0" u="none" strike="noStrike" baseline="0">
                <a:effectLst/>
              </a:rPr>
              <a:t>3</a:t>
            </a:r>
            <a:r>
              <a:rPr lang="zh-CN" altLang="zh-CN" sz="1800" b="1" i="0" u="none" strike="noStrike" baseline="0">
                <a:effectLst/>
              </a:rPr>
              <a:t>：支出决算结构图</a:t>
            </a:r>
            <a:endParaRPr lang="zh-CN" sz="1000"/>
          </a:p>
        </c:rich>
      </c:tx>
    </c:title>
    <c:plotArea>
      <c:layout/>
      <c:pieChart>
        <c:varyColors val="1"/>
        <c:ser>
          <c:idx val="0"/>
          <c:order val="0"/>
          <c:tx>
            <c:strRef>
              <c:f>Sheet1!$B$1</c:f>
              <c:strCache>
                <c:ptCount val="1"/>
                <c:pt idx="0">
                  <c:v>本年支出</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0.00%</c:formatCode>
                <c:ptCount val="5"/>
                <c:pt idx="0">
                  <c:v>0.3553000000000005</c:v>
                </c:pt>
                <c:pt idx="1">
                  <c:v>0.64470000000000116</c:v>
                </c:pt>
                <c:pt idx="2">
                  <c:v>0</c:v>
                </c:pt>
                <c:pt idx="3">
                  <c:v>0</c:v>
                </c:pt>
                <c:pt idx="4">
                  <c:v>0</c:v>
                </c:pt>
              </c:numCache>
            </c:numRef>
          </c:val>
        </c:ser>
        <c:dLbls>
          <c:showVal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图</a:t>
            </a:r>
            <a:r>
              <a:rPr lang="en-US" altLang="zh-CN" sz="1800" b="1" i="0" u="none" strike="noStrike" baseline="0">
                <a:effectLst/>
              </a:rPr>
              <a:t>4</a:t>
            </a:r>
            <a:r>
              <a:rPr lang="zh-CN" altLang="zh-CN" sz="1800" b="1" i="0" u="none" strike="noStrike" baseline="0">
                <a:effectLst/>
              </a:rPr>
              <a:t>：财政拨款收、支决算总计变动情况</a:t>
            </a:r>
            <a:r>
              <a:rPr lang="en-US" altLang="zh-CN" sz="1800" b="1" i="0" u="none" strike="noStrike" baseline="0">
                <a:effectLst/>
              </a:rPr>
              <a:t>  </a:t>
            </a:r>
          </a:p>
          <a:p>
            <a:pPr>
              <a:defRPr lang="zh-CN" sz="1800" b="1" i="0" u="none" strike="noStrike" kern="1200" baseline="0">
                <a:solidFill>
                  <a:schemeClr val="tx1"/>
                </a:solidFill>
                <a:latin typeface="+mn-lt"/>
                <a:ea typeface="+mn-ea"/>
                <a:cs typeface="+mn-cs"/>
              </a:defRPr>
            </a:pPr>
            <a:r>
              <a:rPr lang="zh-CN" altLang="en-US" sz="900" b="1" i="0" u="none" strike="noStrike" baseline="0">
                <a:effectLst/>
              </a:rPr>
              <a:t>                                                                                                                   </a:t>
            </a:r>
            <a:r>
              <a:rPr lang="zh-CN" altLang="en-US" sz="1000" b="1" i="0" u="none" strike="noStrike" baseline="0">
                <a:effectLst/>
              </a:rPr>
              <a:t>单位：万元</a:t>
            </a:r>
            <a:endParaRPr lang="zh-CN" altLang="en-US" sz="1000"/>
          </a:p>
        </c:rich>
      </c:tx>
      <c:layout>
        <c:manualLayout>
          <c:xMode val="edge"/>
          <c:yMode val="edge"/>
          <c:x val="0.17015037380255288"/>
          <c:y val="2.4767801857585103E-2"/>
        </c:manualLayout>
      </c:layout>
    </c:title>
    <c:plotArea>
      <c:layout>
        <c:manualLayout>
          <c:layoutTarget val="inner"/>
          <c:xMode val="edge"/>
          <c:yMode val="edge"/>
          <c:x val="7.9426503182406918E-2"/>
          <c:y val="0.17957696464412501"/>
          <c:w val="0.77075736471569201"/>
          <c:h val="0.71372906560054816"/>
        </c:manualLayout>
      </c:layout>
      <c:barChart>
        <c:barDir val="col"/>
        <c:grouping val="clustered"/>
        <c:ser>
          <c:idx val="0"/>
          <c:order val="0"/>
          <c:tx>
            <c:strRef>
              <c:f>Sheet1!$B$1</c:f>
              <c:strCache>
                <c:ptCount val="1"/>
                <c:pt idx="0">
                  <c:v>2022年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Sheet1!$B$2:$B$3</c:f>
              <c:numCache>
                <c:formatCode>General</c:formatCode>
                <c:ptCount val="2"/>
                <c:pt idx="0">
                  <c:v>343.34000000000032</c:v>
                </c:pt>
                <c:pt idx="1">
                  <c:v>343.34000000000032</c:v>
                </c:pt>
              </c:numCache>
            </c:numRef>
          </c:val>
        </c:ser>
        <c:ser>
          <c:idx val="1"/>
          <c:order val="1"/>
          <c:tx>
            <c:strRef>
              <c:f>Sheet1!$C$1</c:f>
              <c:strCache>
                <c:ptCount val="1"/>
                <c:pt idx="0">
                  <c:v>2023年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Sheet1!$C$2:$C$3</c:f>
              <c:numCache>
                <c:formatCode>General</c:formatCode>
                <c:ptCount val="2"/>
                <c:pt idx="0">
                  <c:v>439.21999999999969</c:v>
                </c:pt>
                <c:pt idx="1">
                  <c:v>439.21999999999969</c:v>
                </c:pt>
              </c:numCache>
            </c:numRef>
          </c:val>
        </c:ser>
        <c:dLbls>
          <c:showVal val="1"/>
        </c:dLbls>
        <c:axId val="208356480"/>
        <c:axId val="208358016"/>
      </c:barChart>
      <c:catAx>
        <c:axId val="208356480"/>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08358016"/>
        <c:crosses val="autoZero"/>
        <c:auto val="1"/>
        <c:lblAlgn val="ctr"/>
        <c:lblOffset val="100"/>
      </c:catAx>
      <c:valAx>
        <c:axId val="208358016"/>
        <c:scaling>
          <c:orientation val="minMax"/>
        </c:scaling>
        <c:axPos val="l"/>
        <c:majorGridlines/>
        <c:numFmt formatCode="General"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08356480"/>
        <c:crosses val="autoZero"/>
        <c:crossBetween val="between"/>
      </c:valAx>
    </c:plotArea>
    <c:legend>
      <c:legendPos val="r"/>
      <c:layout>
        <c:manualLayout>
          <c:xMode val="edge"/>
          <c:yMode val="edge"/>
          <c:x val="0.87180628594710896"/>
          <c:y val="0.49222723320575651"/>
          <c:w val="0.113753280839895"/>
          <c:h val="0.25661847996554676"/>
        </c:manualLayout>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图</a:t>
            </a:r>
            <a:r>
              <a:rPr lang="en-US"/>
              <a:t>5</a:t>
            </a:r>
            <a:r>
              <a:rPr lang="zh-CN"/>
              <a:t>：一般公共预算财政拨款支出</a:t>
            </a:r>
            <a:endParaRPr lang="en-US" altLang="zh-CN"/>
          </a:p>
          <a:p>
            <a:pPr>
              <a:defRPr lang="zh-CN" sz="1800" b="1" i="0" u="none" strike="noStrike" kern="1200" baseline="0">
                <a:solidFill>
                  <a:schemeClr val="tx1"/>
                </a:solidFill>
                <a:latin typeface="+mn-lt"/>
                <a:ea typeface="+mn-ea"/>
                <a:cs typeface="+mn-cs"/>
              </a:defRPr>
            </a:pPr>
            <a:r>
              <a:rPr lang="en-US" altLang="zh-CN"/>
              <a:t>                             </a:t>
            </a:r>
            <a:r>
              <a:rPr lang="zh-CN"/>
              <a:t>决算变动情况</a:t>
            </a:r>
            <a:r>
              <a:rPr lang="en-US"/>
              <a:t>             </a:t>
            </a:r>
            <a:r>
              <a:rPr lang="en-US" sz="1200"/>
              <a:t>  </a:t>
            </a:r>
            <a:r>
              <a:rPr lang="zh-CN" sz="1200"/>
              <a:t>单位：万元</a:t>
            </a:r>
          </a:p>
        </c:rich>
      </c:tx>
      <c:layout>
        <c:manualLayout>
          <c:xMode val="edge"/>
          <c:yMode val="edge"/>
          <c:x val="0.17015037380255288"/>
          <c:y val="2.4767801857585103E-2"/>
        </c:manualLayout>
      </c:layout>
    </c:title>
    <c:plotArea>
      <c:layout>
        <c:manualLayout>
          <c:layoutTarget val="inner"/>
          <c:xMode val="edge"/>
          <c:yMode val="edge"/>
          <c:x val="0.17328936770990322"/>
          <c:y val="0.20021679952544644"/>
          <c:w val="0.77075736471569201"/>
          <c:h val="0.71372906560054816"/>
        </c:manualLayout>
      </c:layout>
      <c:barChart>
        <c:barDir val="col"/>
        <c:grouping val="clustered"/>
        <c:ser>
          <c:idx val="0"/>
          <c:order val="0"/>
          <c:tx>
            <c:strRef>
              <c:f>Sheet1!$B$1</c:f>
              <c:strCache>
                <c:ptCount val="1"/>
                <c:pt idx="0">
                  <c:v>2022年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c:f>
              <c:strCache>
                <c:ptCount val="1"/>
                <c:pt idx="0">
                  <c:v>一般公共预算财政拨款支出</c:v>
                </c:pt>
              </c:strCache>
            </c:strRef>
          </c:cat>
          <c:val>
            <c:numRef>
              <c:f>Sheet1!$B$2</c:f>
              <c:numCache>
                <c:formatCode>General</c:formatCode>
                <c:ptCount val="1"/>
                <c:pt idx="0">
                  <c:v>343.34000000000032</c:v>
                </c:pt>
              </c:numCache>
            </c:numRef>
          </c:val>
        </c:ser>
        <c:ser>
          <c:idx val="1"/>
          <c:order val="1"/>
          <c:tx>
            <c:strRef>
              <c:f>Sheet1!$C$1</c:f>
              <c:strCache>
                <c:ptCount val="1"/>
                <c:pt idx="0">
                  <c:v>2023年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c:f>
              <c:strCache>
                <c:ptCount val="1"/>
                <c:pt idx="0">
                  <c:v>一般公共预算财政拨款支出</c:v>
                </c:pt>
              </c:strCache>
            </c:strRef>
          </c:cat>
          <c:val>
            <c:numRef>
              <c:f>Sheet1!$C$2</c:f>
              <c:numCache>
                <c:formatCode>General</c:formatCode>
                <c:ptCount val="1"/>
                <c:pt idx="0">
                  <c:v>432.9899999999995</c:v>
                </c:pt>
              </c:numCache>
            </c:numRef>
          </c:val>
        </c:ser>
        <c:dLbls>
          <c:showVal val="1"/>
        </c:dLbls>
        <c:axId val="209956864"/>
        <c:axId val="209958400"/>
      </c:barChart>
      <c:catAx>
        <c:axId val="209956864"/>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09958400"/>
        <c:crosses val="autoZero"/>
        <c:auto val="1"/>
        <c:lblAlgn val="ctr"/>
        <c:lblOffset val="100"/>
      </c:catAx>
      <c:valAx>
        <c:axId val="209958400"/>
        <c:scaling>
          <c:orientation val="minMax"/>
        </c:scaling>
        <c:axPos val="l"/>
        <c:majorGridlines/>
        <c:numFmt formatCode="General"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09956864"/>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图</a:t>
            </a:r>
            <a:r>
              <a:rPr lang="en-US" altLang="zh-CN" sz="1800" b="1" i="0" u="none" strike="noStrike" baseline="0">
                <a:effectLst/>
              </a:rPr>
              <a:t>6</a:t>
            </a:r>
            <a:r>
              <a:rPr lang="zh-CN" altLang="zh-CN" sz="1800" b="1" i="0" u="none" strike="noStrike" baseline="0">
                <a:effectLst/>
              </a:rPr>
              <a:t>：一般公共预算财政拨款支出</a:t>
            </a:r>
            <a:endParaRPr lang="en-US" altLang="zh-CN" sz="1800" b="1" i="0" u="none" strike="noStrike" baseline="0">
              <a:effectLst/>
            </a:endParaRPr>
          </a:p>
          <a:p>
            <a:pPr>
              <a:defRPr lang="zh-CN" sz="1800" b="1" i="0" u="none" strike="noStrike" kern="1200" baseline="0">
                <a:solidFill>
                  <a:schemeClr val="tx1"/>
                </a:solidFill>
                <a:latin typeface="+mn-lt"/>
                <a:ea typeface="+mn-ea"/>
                <a:cs typeface="+mn-cs"/>
              </a:defRPr>
            </a:pPr>
            <a:r>
              <a:rPr lang="zh-CN" altLang="zh-CN" sz="1800" b="1" i="0" u="none" strike="noStrike" baseline="0">
                <a:effectLst/>
              </a:rPr>
              <a:t>决算结构</a:t>
            </a:r>
            <a:endParaRPr lang="zh-CN"/>
          </a:p>
        </c:rich>
      </c:tx>
    </c:title>
    <c:plotArea>
      <c:layout/>
      <c:pieChart>
        <c:varyColors val="1"/>
        <c:ser>
          <c:idx val="0"/>
          <c:order val="0"/>
          <c:tx>
            <c:strRef>
              <c:f>Sheet1!$B$1</c:f>
              <c:strCache>
                <c:ptCount val="1"/>
                <c:pt idx="0">
                  <c:v>一般公共预算财政拨款支出</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Sheet1!$A$2:$A$6</c:f>
              <c:strCache>
                <c:ptCount val="5"/>
                <c:pt idx="0">
                  <c:v>科学技术支出</c:v>
                </c:pt>
                <c:pt idx="1">
                  <c:v>住房保障支出</c:v>
                </c:pt>
                <c:pt idx="2">
                  <c:v>农林水支出</c:v>
                </c:pt>
                <c:pt idx="3">
                  <c:v>社会保障和就业支出</c:v>
                </c:pt>
                <c:pt idx="4">
                  <c:v>节能环保支出</c:v>
                </c:pt>
              </c:strCache>
            </c:strRef>
          </c:cat>
          <c:val>
            <c:numRef>
              <c:f>Sheet1!$B$2:$B$6</c:f>
              <c:numCache>
                <c:formatCode>0.00%</c:formatCode>
                <c:ptCount val="5"/>
                <c:pt idx="0">
                  <c:v>2.3000000000000034E-3</c:v>
                </c:pt>
                <c:pt idx="1">
                  <c:v>2.4400000000000005E-2</c:v>
                </c:pt>
                <c:pt idx="2">
                  <c:v>0.26990000000000008</c:v>
                </c:pt>
                <c:pt idx="3">
                  <c:v>0.31030000000000058</c:v>
                </c:pt>
                <c:pt idx="4">
                  <c:v>0.63280000000000114</c:v>
                </c:pt>
              </c:numCache>
            </c:numRef>
          </c:val>
        </c:ser>
        <c:dLbls>
          <c:showVal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style val="10"/>
  <c:chart>
    <c:title>
      <c:tx>
        <c:rich>
          <a:bodyPr rot="0" spcFirstLastPara="0" vertOverflow="ellipsis" vert="horz" wrap="square" anchor="ctr" anchorCtr="1"/>
          <a:lstStyle/>
          <a:p>
            <a:pPr>
              <a:defRPr lang="zh-CN" sz="1800" b="1" i="0" u="none" strike="noStrike" kern="1200" baseline="0">
                <a:solidFill>
                  <a:schemeClr val="dk1"/>
                </a:solidFill>
                <a:latin typeface="+mn-lt"/>
                <a:ea typeface="+mn-ea"/>
                <a:cs typeface="+mn-cs"/>
              </a:defRPr>
            </a:pPr>
            <a:r>
              <a:rPr lang="zh-CN"/>
              <a:t>图</a:t>
            </a:r>
            <a:r>
              <a:rPr lang="en-US"/>
              <a:t>7</a:t>
            </a:r>
            <a:r>
              <a:rPr lang="zh-CN"/>
              <a:t>：“三公”经费财政拨款支出结构图</a:t>
            </a:r>
            <a:endParaRPr lang="en-US"/>
          </a:p>
        </c:rich>
      </c:tx>
    </c:title>
    <c:plotArea>
      <c:layout/>
      <c:pieChart>
        <c:varyColors val="1"/>
        <c:ser>
          <c:idx val="0"/>
          <c:order val="0"/>
          <c:tx>
            <c:strRef>
              <c:f>Sheet1!$B$1</c:f>
              <c:strCache>
                <c:ptCount val="1"/>
                <c:pt idx="0">
                  <c:v>“三公”经费财政拨款</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solidFill>
                    <a:latin typeface="+mn-lt"/>
                    <a:ea typeface="+mn-ea"/>
                    <a:cs typeface="+mn-cs"/>
                  </a:defRPr>
                </a:pPr>
                <a:endParaRPr lang="zh-CN"/>
              </a:p>
            </c:txPr>
            <c:dLblPos val="inEnd"/>
            <c:showVal val="1"/>
            <c:showLeaderLines val="1"/>
            <c:extLst>
              <c:ext xmlns:c15="http://schemas.microsoft.com/office/drawing/2012/chart" uri="{CE6537A1-D6FC-4f65-9D91-7224C49458BB}">
                <c15:layout/>
                <c15:showLeaderLines val="1"/>
                <c15:leaderLines/>
              </c:ext>
            </c:extLst>
          </c:dLbls>
          <c:cat>
            <c:strRef>
              <c:f>Sheet1!$A$2:$A$4</c:f>
              <c:strCache>
                <c:ptCount val="3"/>
                <c:pt idx="0">
                  <c:v>公务接待费支出</c:v>
                </c:pt>
                <c:pt idx="1">
                  <c:v>因公出国（境）</c:v>
                </c:pt>
                <c:pt idx="2">
                  <c:v>公务用车</c:v>
                </c:pt>
              </c:strCache>
            </c:strRef>
          </c:cat>
          <c:val>
            <c:numRef>
              <c:f>Sheet1!$B$2:$B$4</c:f>
              <c:numCache>
                <c:formatCode>0.00%</c:formatCode>
                <c:ptCount val="3"/>
                <c:pt idx="0">
                  <c:v>1</c:v>
                </c:pt>
                <c:pt idx="1">
                  <c:v>0</c:v>
                </c:pt>
                <c:pt idx="2">
                  <c:v>0</c:v>
                </c:pt>
              </c:numCache>
            </c:numRef>
          </c:val>
        </c:ser>
        <c:dLbls>
          <c:showVal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dk1"/>
              </a:solidFill>
              <a:latin typeface="+mn-lt"/>
              <a:ea typeface="+mn-ea"/>
              <a:cs typeface="+mn-cs"/>
            </a:defRPr>
          </a:pPr>
          <a:endParaRPr lang="zh-CN"/>
        </a:p>
      </c:txPr>
    </c:legend>
    <c:plotVisOnly val="1"/>
    <c:dispBlanksAs val="zero"/>
  </c:chart>
  <c:spPr>
    <a:solidFill>
      <a:schemeClr val="bg1"/>
    </a:solidFill>
    <a:ln w="25400" cap="flat" cmpd="sng" algn="ctr">
      <a:solidFill>
        <a:schemeClr val="accent5"/>
      </a:solidFill>
      <a:prstDash val="solid"/>
      <a:round/>
    </a:ln>
    <a:effectLst/>
  </c:spPr>
  <c:txPr>
    <a:bodyPr/>
    <a:lstStyle/>
    <a:p>
      <a:pPr>
        <a:defRPr lang="zh-CN">
          <a:solidFill>
            <a:schemeClr val="dk1"/>
          </a:solidFill>
          <a:latin typeface="+mn-lt"/>
          <a:ea typeface="+mn-ea"/>
          <a:cs typeface="+mn-cs"/>
        </a:defRPr>
      </a:pPr>
      <a:endParaRPr lang="zh-CN"/>
    </a:p>
  </c:txPr>
  <c:externalData r:id="rId1"/>
</c:chartSpace>
</file>

<file path=word/theme/theme1.xml><?xml version="1.0" encoding="utf-8"?>
<a:theme xmlns:a="http://schemas.openxmlformats.org/drawingml/2006/main" name="Office Theme">
  <a:themeElements>
    <a:clrScheme name="华丽">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13428-B3D7-4D29-B6CB-66DD36E39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822</Words>
  <Characters>4689</Characters>
  <Application>Microsoft Office Word</Application>
  <DocSecurity>0</DocSecurity>
  <Lines>39</Lines>
  <Paragraphs>10</Paragraphs>
  <ScaleCrop>false</ScaleCrop>
  <Company>四川省财政厅</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汪啟波</cp:lastModifiedBy>
  <cp:revision>7</cp:revision>
  <cp:lastPrinted>2023-07-31T02:35:00Z</cp:lastPrinted>
  <dcterms:created xsi:type="dcterms:W3CDTF">2024-03-02T20:15:00Z</dcterms:created>
  <dcterms:modified xsi:type="dcterms:W3CDTF">2024-09-20T08:43:00Z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F2EFE11E58464FDFB5C69E362A5B0091_12</vt:lpwstr>
  </property>
</Properties>
</file>