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F0" w:rsidRDefault="000415F0">
      <w:pPr>
        <w:spacing w:line="600" w:lineRule="exact"/>
        <w:jc w:val="center"/>
        <w:outlineLvl w:val="0"/>
        <w:rPr>
          <w:rFonts w:ascii="方正小标宋简体" w:eastAsia="方正小标宋简体" w:hAnsi="宋体"/>
          <w:sz w:val="72"/>
          <w:szCs w:val="72"/>
        </w:rPr>
      </w:pPr>
      <w:bookmarkStart w:id="0" w:name="_Toc15306267"/>
    </w:p>
    <w:p w:rsidR="000415F0" w:rsidRDefault="000415F0">
      <w:pPr>
        <w:spacing w:line="600" w:lineRule="exact"/>
        <w:jc w:val="center"/>
        <w:outlineLvl w:val="0"/>
        <w:rPr>
          <w:rFonts w:ascii="方正小标宋简体" w:eastAsia="方正小标宋简体" w:hAnsi="宋体"/>
          <w:sz w:val="72"/>
          <w:szCs w:val="72"/>
        </w:rPr>
      </w:pPr>
    </w:p>
    <w:p w:rsidR="000415F0" w:rsidRDefault="000415F0">
      <w:pPr>
        <w:spacing w:line="600" w:lineRule="exact"/>
        <w:jc w:val="center"/>
        <w:outlineLvl w:val="0"/>
        <w:rPr>
          <w:rFonts w:ascii="方正小标宋简体" w:eastAsia="方正小标宋简体" w:hAnsi="宋体"/>
          <w:sz w:val="72"/>
          <w:szCs w:val="72"/>
        </w:rPr>
      </w:pPr>
    </w:p>
    <w:p w:rsidR="000415F0" w:rsidRDefault="000415F0">
      <w:pPr>
        <w:spacing w:line="600" w:lineRule="exact"/>
        <w:jc w:val="center"/>
        <w:outlineLvl w:val="0"/>
        <w:rPr>
          <w:rFonts w:ascii="方正小标宋简体" w:eastAsia="方正小标宋简体" w:hAnsi="宋体"/>
          <w:sz w:val="72"/>
          <w:szCs w:val="72"/>
        </w:rPr>
      </w:pPr>
    </w:p>
    <w:p w:rsidR="000415F0" w:rsidRDefault="00506E6A">
      <w:pPr>
        <w:adjustRightInd w:val="0"/>
        <w:snapToGrid w:val="0"/>
        <w:spacing w:line="360" w:lineRule="auto"/>
        <w:ind w:firstLineChars="200" w:firstLine="1440"/>
        <w:jc w:val="center"/>
        <w:outlineLvl w:val="0"/>
        <w:rPr>
          <w:rFonts w:ascii="方正小标宋简体" w:eastAsia="方正小标宋简体" w:hAnsi="方正小标宋简体" w:cs="方正小标宋简体"/>
          <w:sz w:val="72"/>
          <w:szCs w:val="72"/>
        </w:rPr>
      </w:pPr>
      <w:bookmarkStart w:id="1" w:name="_Toc15396475"/>
      <w:bookmarkStart w:id="2" w:name="_Toc15377425"/>
      <w:bookmarkStart w:id="3" w:name="_Toc15378441"/>
      <w:bookmarkStart w:id="4" w:name="_Toc15396597"/>
      <w:bookmarkStart w:id="5" w:name="_Toc15377193"/>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0415F0" w:rsidRDefault="00506E6A">
      <w:pPr>
        <w:adjustRightInd w:val="0"/>
        <w:snapToGrid w:val="0"/>
        <w:spacing w:line="360" w:lineRule="auto"/>
        <w:ind w:firstLineChars="200" w:firstLine="1440"/>
        <w:jc w:val="center"/>
        <w:outlineLvl w:val="0"/>
        <w:rPr>
          <w:rFonts w:ascii="方正小标宋简体" w:eastAsia="方正小标宋简体" w:hAnsi="方正小标宋简体" w:cs="方正小标宋简体"/>
          <w:sz w:val="72"/>
          <w:szCs w:val="72"/>
        </w:rPr>
      </w:pPr>
      <w:bookmarkStart w:id="6" w:name="_Toc15377426"/>
      <w:bookmarkStart w:id="7" w:name="_Toc15377194"/>
      <w:bookmarkStart w:id="8" w:name="_Toc15396476"/>
      <w:bookmarkStart w:id="9" w:name="_Toc15378442"/>
      <w:bookmarkStart w:id="10" w:name="_Toc15396598"/>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攀枝花市林业技术服务中心决算</w:t>
      </w:r>
      <w:bookmarkEnd w:id="6"/>
      <w:bookmarkEnd w:id="7"/>
      <w:bookmarkEnd w:id="8"/>
      <w:bookmarkEnd w:id="9"/>
      <w:bookmarkEnd w:id="10"/>
      <w:bookmarkEnd w:id="11"/>
    </w:p>
    <w:p w:rsidR="000415F0" w:rsidRDefault="00506E6A">
      <w:pPr>
        <w:widowControl/>
        <w:ind w:firstLine="420"/>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0415F0" w:rsidRDefault="00506E6A">
      <w:pPr>
        <w:pStyle w:val="10"/>
        <w:tabs>
          <w:tab w:val="right" w:leader="dot" w:pos="7980"/>
        </w:tabs>
        <w:snapToGrid w:val="0"/>
      </w:pPr>
      <w:r>
        <w:rPr>
          <w:rFonts w:hint="eastAsia"/>
        </w:rPr>
        <w:t>公开时间：</w:t>
      </w:r>
      <w:r>
        <w:t>2022</w:t>
      </w:r>
      <w:r>
        <w:rPr>
          <w:rFonts w:hint="eastAsia"/>
        </w:rPr>
        <w:t>年</w:t>
      </w:r>
      <w:r>
        <w:t>9</w:t>
      </w:r>
      <w:r>
        <w:rPr>
          <w:rFonts w:hint="eastAsia"/>
        </w:rPr>
        <w:t>月</w:t>
      </w:r>
      <w:r>
        <w:t>9</w:t>
      </w:r>
      <w:r>
        <w:rPr>
          <w:rFonts w:hint="eastAsia"/>
        </w:rPr>
        <w:t>日</w:t>
      </w:r>
    </w:p>
    <w:p w:rsidR="000415F0" w:rsidRDefault="00506E6A">
      <w:pPr>
        <w:pStyle w:val="10"/>
        <w:tabs>
          <w:tab w:val="left" w:pos="7371"/>
          <w:tab w:val="left" w:pos="7655"/>
          <w:tab w:val="right" w:leader="dot" w:pos="7980"/>
        </w:tabs>
        <w:adjustRightInd w:val="0"/>
        <w:snapToGrid w:val="0"/>
        <w:spacing w:before="0" w:line="460" w:lineRule="exact"/>
        <w:rPr>
          <w:sz w:val="24"/>
          <w:szCs w:val="24"/>
        </w:rPr>
      </w:pPr>
      <w:r>
        <w:rPr>
          <w:rFonts w:hint="eastAsia"/>
          <w:sz w:val="24"/>
        </w:rPr>
        <w:t>第一部分单位概况 ……</w:t>
      </w:r>
      <w:proofErr w:type="gramStart"/>
      <w:r>
        <w:rPr>
          <w:rFonts w:hint="eastAsia"/>
          <w:sz w:val="24"/>
        </w:rPr>
        <w:t>……………………………………………………</w:t>
      </w:r>
      <w:proofErr w:type="gramEnd"/>
      <w:r>
        <w:rPr>
          <w:rFonts w:hint="eastAsia"/>
          <w:sz w:val="24"/>
        </w:rPr>
        <w:t>4</w:t>
      </w:r>
    </w:p>
    <w:p w:rsidR="000415F0" w:rsidRDefault="00506E6A">
      <w:pPr>
        <w:pStyle w:val="20"/>
        <w:tabs>
          <w:tab w:val="right" w:leader="dot" w:pos="7980"/>
        </w:tabs>
        <w:adjustRightInd w:val="0"/>
        <w:snapToGrid w:val="0"/>
        <w:spacing w:line="460" w:lineRule="exact"/>
        <w:jc w:val="right"/>
        <w:rPr>
          <w:sz w:val="24"/>
        </w:rPr>
      </w:pPr>
      <w:r>
        <w:rPr>
          <w:rFonts w:hint="eastAsia"/>
          <w:sz w:val="24"/>
        </w:rPr>
        <w:t>一、职能简介</w:t>
      </w:r>
      <w:r>
        <w:rPr>
          <w:rFonts w:hint="eastAsia"/>
          <w:sz w:val="24"/>
        </w:rPr>
        <w:t xml:space="preserve">  </w:t>
      </w:r>
      <w:r>
        <w:rPr>
          <w:rFonts w:hint="eastAsia"/>
          <w:sz w:val="24"/>
        </w:rPr>
        <w:t>……</w:t>
      </w:r>
      <w:proofErr w:type="gramStart"/>
      <w:r>
        <w:rPr>
          <w:rFonts w:hint="eastAsia"/>
          <w:sz w:val="24"/>
        </w:rPr>
        <w:t>……………………………………………………</w:t>
      </w:r>
      <w:proofErr w:type="gramEnd"/>
      <w:r>
        <w:rPr>
          <w:rFonts w:hint="eastAsia"/>
          <w:sz w:val="24"/>
        </w:rPr>
        <w:t>4</w:t>
      </w:r>
    </w:p>
    <w:p w:rsidR="000415F0" w:rsidRDefault="00506E6A">
      <w:pPr>
        <w:pStyle w:val="20"/>
        <w:tabs>
          <w:tab w:val="right" w:leader="dot" w:pos="7980"/>
        </w:tabs>
        <w:adjustRightInd w:val="0"/>
        <w:snapToGrid w:val="0"/>
        <w:spacing w:line="460" w:lineRule="exact"/>
        <w:jc w:val="right"/>
        <w:rPr>
          <w:sz w:val="24"/>
        </w:rPr>
      </w:pPr>
      <w:r>
        <w:rPr>
          <w:rFonts w:ascii="宋体" w:hAnsi="宋体" w:cs="宋体" w:hint="eastAsia"/>
          <w:sz w:val="24"/>
        </w:rPr>
        <w:t>二、</w:t>
      </w:r>
      <w:r>
        <w:rPr>
          <w:rFonts w:ascii="宋体" w:hAnsi="宋体" w:cs="宋体"/>
          <w:sz w:val="24"/>
        </w:rPr>
        <w:t>2021</w:t>
      </w:r>
      <w:r>
        <w:rPr>
          <w:rFonts w:ascii="宋体" w:hAnsi="宋体" w:cs="宋体" w:hint="eastAsia"/>
          <w:sz w:val="24"/>
        </w:rPr>
        <w:t xml:space="preserve">年重点工作完成情况 </w:t>
      </w:r>
      <w:r>
        <w:rPr>
          <w:rFonts w:hint="eastAsia"/>
          <w:sz w:val="24"/>
        </w:rPr>
        <w:t>……</w:t>
      </w:r>
      <w:proofErr w:type="gramStart"/>
      <w:r>
        <w:rPr>
          <w:rFonts w:hint="eastAsia"/>
          <w:sz w:val="24"/>
        </w:rPr>
        <w:t>…………………………………</w:t>
      </w:r>
      <w:proofErr w:type="gramEnd"/>
      <w:r>
        <w:rPr>
          <w:rFonts w:hint="eastAsia"/>
          <w:sz w:val="24"/>
        </w:rPr>
        <w:t>4</w:t>
      </w:r>
    </w:p>
    <w:p w:rsidR="007D1E39" w:rsidRDefault="007D1E39" w:rsidP="007D1E39">
      <w:pPr>
        <w:pStyle w:val="20"/>
        <w:tabs>
          <w:tab w:val="right" w:leader="dot" w:pos="7980"/>
        </w:tabs>
        <w:adjustRightInd w:val="0"/>
        <w:snapToGrid w:val="0"/>
        <w:spacing w:line="460" w:lineRule="exact"/>
        <w:ind w:right="480" w:firstLineChars="800" w:firstLine="1920"/>
        <w:rPr>
          <w:sz w:val="24"/>
        </w:rPr>
      </w:pPr>
      <w:r>
        <w:rPr>
          <w:rFonts w:ascii="宋体" w:hAnsi="宋体" w:cs="宋体" w:hint="eastAsia"/>
          <w:sz w:val="24"/>
        </w:rPr>
        <w:t xml:space="preserve">三、机构设置 </w:t>
      </w:r>
      <w:r>
        <w:rPr>
          <w:rFonts w:hint="eastAsia"/>
          <w:sz w:val="24"/>
        </w:rPr>
        <w:t>……</w:t>
      </w:r>
      <w:proofErr w:type="gramStart"/>
      <w:r>
        <w:rPr>
          <w:rFonts w:hint="eastAsia"/>
          <w:sz w:val="24"/>
        </w:rPr>
        <w:t>…………………………………</w:t>
      </w:r>
      <w:proofErr w:type="gramEnd"/>
      <w:r>
        <w:rPr>
          <w:rFonts w:hint="eastAsia"/>
          <w:sz w:val="24"/>
        </w:rPr>
        <w:t>4</w:t>
      </w:r>
    </w:p>
    <w:p w:rsidR="007D1E39" w:rsidRPr="007D1E39" w:rsidRDefault="007D1E39" w:rsidP="007D1E39"/>
    <w:p w:rsidR="000415F0" w:rsidRDefault="00506E6A">
      <w:pPr>
        <w:pStyle w:val="10"/>
        <w:tabs>
          <w:tab w:val="right" w:leader="dot" w:pos="7980"/>
        </w:tabs>
        <w:adjustRightInd w:val="0"/>
        <w:snapToGrid w:val="0"/>
        <w:spacing w:before="0" w:line="460" w:lineRule="exact"/>
        <w:rPr>
          <w:sz w:val="24"/>
          <w:szCs w:val="24"/>
        </w:rPr>
      </w:pPr>
      <w:r>
        <w:rPr>
          <w:rFonts w:hint="eastAsia"/>
          <w:sz w:val="24"/>
        </w:rPr>
        <w:t>第二部分</w:t>
      </w:r>
      <w:r>
        <w:rPr>
          <w:sz w:val="24"/>
        </w:rPr>
        <w:t xml:space="preserve"> 2021</w:t>
      </w:r>
      <w:r>
        <w:rPr>
          <w:rFonts w:hint="eastAsia"/>
          <w:sz w:val="24"/>
        </w:rPr>
        <w:t>年度单位决算情况说明……</w:t>
      </w:r>
      <w:proofErr w:type="gramStart"/>
      <w:r>
        <w:rPr>
          <w:rFonts w:hint="eastAsia"/>
          <w:sz w:val="24"/>
        </w:rPr>
        <w:t>………………………………</w:t>
      </w:r>
      <w:proofErr w:type="gramEnd"/>
      <w:r>
        <w:rPr>
          <w:rFonts w:hint="eastAsia"/>
          <w:sz w:val="24"/>
        </w:rPr>
        <w:t>5</w:t>
      </w:r>
    </w:p>
    <w:p w:rsidR="000415F0" w:rsidRDefault="00506E6A">
      <w:pPr>
        <w:pStyle w:val="20"/>
        <w:tabs>
          <w:tab w:val="right" w:leader="dot" w:pos="7980"/>
        </w:tabs>
        <w:adjustRightInd w:val="0"/>
        <w:snapToGrid w:val="0"/>
        <w:spacing w:line="460" w:lineRule="exact"/>
        <w:jc w:val="right"/>
        <w:rPr>
          <w:rFonts w:ascii="仿宋" w:eastAsia="仿宋" w:hAnsi="仿宋"/>
          <w:sz w:val="24"/>
        </w:rPr>
      </w:pPr>
      <w:r>
        <w:rPr>
          <w:rFonts w:hint="eastAsia"/>
          <w:sz w:val="24"/>
        </w:rPr>
        <w:t>一、收入支出决算总体情况说明……</w:t>
      </w:r>
      <w:proofErr w:type="gramStart"/>
      <w:r>
        <w:rPr>
          <w:rFonts w:hint="eastAsia"/>
          <w:sz w:val="24"/>
        </w:rPr>
        <w:t>…………………………………</w:t>
      </w:r>
      <w:proofErr w:type="gramEnd"/>
      <w:r>
        <w:rPr>
          <w:rFonts w:hint="eastAsia"/>
          <w:sz w:val="24"/>
        </w:rPr>
        <w:t>5</w:t>
      </w:r>
    </w:p>
    <w:p w:rsidR="000415F0" w:rsidRDefault="00506E6A">
      <w:pPr>
        <w:pStyle w:val="20"/>
        <w:tabs>
          <w:tab w:val="right" w:leader="dot" w:pos="7980"/>
        </w:tabs>
        <w:adjustRightInd w:val="0"/>
        <w:snapToGrid w:val="0"/>
        <w:spacing w:line="460" w:lineRule="exact"/>
        <w:jc w:val="right"/>
        <w:rPr>
          <w:rFonts w:ascii="仿宋" w:hAnsi="仿宋"/>
          <w:sz w:val="24"/>
        </w:rPr>
      </w:pPr>
      <w:r>
        <w:rPr>
          <w:rFonts w:hint="eastAsia"/>
          <w:sz w:val="24"/>
        </w:rPr>
        <w:t>二、收入决算情况说明……</w:t>
      </w:r>
      <w:proofErr w:type="gramStart"/>
      <w:r>
        <w:rPr>
          <w:rFonts w:hint="eastAsia"/>
          <w:sz w:val="24"/>
        </w:rPr>
        <w:t>……………………………………………</w:t>
      </w:r>
      <w:proofErr w:type="gramEnd"/>
      <w:r>
        <w:rPr>
          <w:rFonts w:hint="eastAsia"/>
          <w:sz w:val="24"/>
        </w:rPr>
        <w:t>5</w:t>
      </w:r>
    </w:p>
    <w:p w:rsidR="000415F0" w:rsidRDefault="00506E6A">
      <w:pPr>
        <w:pStyle w:val="20"/>
        <w:tabs>
          <w:tab w:val="right" w:leader="dot" w:pos="7980"/>
        </w:tabs>
        <w:adjustRightInd w:val="0"/>
        <w:snapToGrid w:val="0"/>
        <w:spacing w:line="460" w:lineRule="exact"/>
        <w:jc w:val="right"/>
        <w:rPr>
          <w:rFonts w:ascii="仿宋" w:hAnsi="仿宋"/>
          <w:sz w:val="24"/>
        </w:rPr>
      </w:pPr>
      <w:r>
        <w:rPr>
          <w:rFonts w:hint="eastAsia"/>
          <w:sz w:val="24"/>
        </w:rPr>
        <w:t>三、支出决算情况说明……</w:t>
      </w:r>
      <w:proofErr w:type="gramStart"/>
      <w:r>
        <w:rPr>
          <w:rFonts w:hint="eastAsia"/>
          <w:sz w:val="24"/>
        </w:rPr>
        <w:t>……………………………………………</w:t>
      </w:r>
      <w:proofErr w:type="gramEnd"/>
      <w:r>
        <w:rPr>
          <w:rFonts w:hint="eastAsia"/>
          <w:sz w:val="24"/>
        </w:rPr>
        <w:t>6</w:t>
      </w:r>
    </w:p>
    <w:p w:rsidR="000415F0" w:rsidRDefault="00506E6A">
      <w:pPr>
        <w:pStyle w:val="20"/>
        <w:tabs>
          <w:tab w:val="right" w:leader="dot" w:pos="7980"/>
        </w:tabs>
        <w:adjustRightInd w:val="0"/>
        <w:snapToGrid w:val="0"/>
        <w:spacing w:line="460" w:lineRule="exact"/>
        <w:jc w:val="right"/>
        <w:rPr>
          <w:rFonts w:ascii="仿宋" w:eastAsia="仿宋" w:hAnsi="仿宋"/>
          <w:sz w:val="24"/>
        </w:rPr>
      </w:pPr>
      <w:r>
        <w:rPr>
          <w:rFonts w:hint="eastAsia"/>
          <w:sz w:val="24"/>
        </w:rPr>
        <w:t>四、财政拨款收入支出决算总体情况说明……</w:t>
      </w:r>
      <w:proofErr w:type="gramStart"/>
      <w:r>
        <w:rPr>
          <w:rFonts w:hint="eastAsia"/>
          <w:sz w:val="24"/>
        </w:rPr>
        <w:t>………………………</w:t>
      </w:r>
      <w:proofErr w:type="gramEnd"/>
      <w:r>
        <w:rPr>
          <w:rFonts w:hint="eastAsia"/>
          <w:sz w:val="24"/>
        </w:rPr>
        <w:t>7</w:t>
      </w:r>
    </w:p>
    <w:p w:rsidR="000415F0" w:rsidRDefault="00506E6A">
      <w:pPr>
        <w:pStyle w:val="20"/>
        <w:tabs>
          <w:tab w:val="right" w:leader="dot" w:pos="7980"/>
        </w:tabs>
        <w:adjustRightInd w:val="0"/>
        <w:snapToGrid w:val="0"/>
        <w:spacing w:line="460" w:lineRule="exact"/>
        <w:jc w:val="right"/>
        <w:rPr>
          <w:rFonts w:ascii="仿宋" w:hAnsi="仿宋"/>
          <w:sz w:val="24"/>
        </w:rPr>
      </w:pPr>
      <w:r>
        <w:rPr>
          <w:rFonts w:hint="eastAsia"/>
          <w:sz w:val="24"/>
        </w:rPr>
        <w:t>五、一般公共预算财政拨款支出决算情况说明……</w:t>
      </w:r>
      <w:proofErr w:type="gramStart"/>
      <w:r>
        <w:rPr>
          <w:rFonts w:hint="eastAsia"/>
          <w:sz w:val="24"/>
        </w:rPr>
        <w:t>…………………</w:t>
      </w:r>
      <w:proofErr w:type="gramEnd"/>
      <w:r>
        <w:rPr>
          <w:rFonts w:hint="eastAsia"/>
          <w:sz w:val="24"/>
        </w:rPr>
        <w:t>7</w:t>
      </w:r>
    </w:p>
    <w:p w:rsidR="000415F0" w:rsidRDefault="00506E6A">
      <w:pPr>
        <w:pStyle w:val="20"/>
        <w:tabs>
          <w:tab w:val="right" w:leader="dot" w:pos="7980"/>
        </w:tabs>
        <w:adjustRightInd w:val="0"/>
        <w:snapToGrid w:val="0"/>
        <w:spacing w:line="460" w:lineRule="exact"/>
        <w:jc w:val="right"/>
        <w:rPr>
          <w:rFonts w:ascii="仿宋" w:eastAsia="仿宋" w:hAnsi="仿宋"/>
          <w:sz w:val="24"/>
        </w:rPr>
      </w:pPr>
      <w:r>
        <w:rPr>
          <w:rFonts w:hint="eastAsia"/>
          <w:sz w:val="24"/>
        </w:rPr>
        <w:t>六、一般公共预算财政拨款基本支出决算情况说明</w:t>
      </w:r>
      <w:r>
        <w:rPr>
          <w:rFonts w:hint="eastAsia"/>
          <w:sz w:val="24"/>
        </w:rPr>
        <w:t xml:space="preserve"> </w:t>
      </w:r>
      <w:r>
        <w:rPr>
          <w:rFonts w:hint="eastAsia"/>
          <w:sz w:val="24"/>
        </w:rPr>
        <w:t>……</w:t>
      </w:r>
      <w:proofErr w:type="gramStart"/>
      <w:r>
        <w:rPr>
          <w:rFonts w:hint="eastAsia"/>
          <w:sz w:val="24"/>
        </w:rPr>
        <w:t>…………</w:t>
      </w:r>
      <w:proofErr w:type="gramEnd"/>
      <w:r>
        <w:rPr>
          <w:rFonts w:hint="eastAsia"/>
          <w:sz w:val="24"/>
        </w:rPr>
        <w:t>10</w:t>
      </w:r>
    </w:p>
    <w:p w:rsidR="000415F0" w:rsidRDefault="00506E6A">
      <w:pPr>
        <w:pStyle w:val="20"/>
        <w:tabs>
          <w:tab w:val="right" w:leader="dot" w:pos="7980"/>
        </w:tabs>
        <w:adjustRightInd w:val="0"/>
        <w:snapToGrid w:val="0"/>
        <w:spacing w:line="460" w:lineRule="exact"/>
        <w:jc w:val="right"/>
        <w:rPr>
          <w:rFonts w:ascii="仿宋" w:hAnsi="仿宋"/>
          <w:sz w:val="24"/>
        </w:rPr>
      </w:pPr>
      <w:r>
        <w:rPr>
          <w:rFonts w:hint="eastAsia"/>
          <w:sz w:val="24"/>
        </w:rPr>
        <w:t>七、“三公”经费财政拨款支出决算情况说明……</w:t>
      </w:r>
      <w:proofErr w:type="gramStart"/>
      <w:r>
        <w:rPr>
          <w:rFonts w:hint="eastAsia"/>
          <w:sz w:val="24"/>
        </w:rPr>
        <w:t>…………………</w:t>
      </w:r>
      <w:proofErr w:type="gramEnd"/>
      <w:r>
        <w:rPr>
          <w:rFonts w:hint="eastAsia"/>
          <w:sz w:val="24"/>
        </w:rPr>
        <w:t>10</w:t>
      </w:r>
    </w:p>
    <w:p w:rsidR="000415F0" w:rsidRDefault="00506E6A">
      <w:pPr>
        <w:pStyle w:val="20"/>
        <w:tabs>
          <w:tab w:val="right" w:leader="dot" w:pos="7980"/>
        </w:tabs>
        <w:adjustRightInd w:val="0"/>
        <w:snapToGrid w:val="0"/>
        <w:spacing w:line="460" w:lineRule="exact"/>
        <w:jc w:val="right"/>
        <w:rPr>
          <w:rFonts w:ascii="仿宋" w:hAnsi="仿宋"/>
          <w:sz w:val="24"/>
        </w:rPr>
      </w:pPr>
      <w:r>
        <w:rPr>
          <w:rFonts w:hint="eastAsia"/>
          <w:sz w:val="24"/>
        </w:rPr>
        <w:t>八、政府性基金预算支出决算情况说明</w:t>
      </w:r>
      <w:r>
        <w:rPr>
          <w:rFonts w:hint="eastAsia"/>
          <w:sz w:val="24"/>
        </w:rPr>
        <w:t xml:space="preserve"> </w:t>
      </w:r>
      <w:r>
        <w:rPr>
          <w:rFonts w:hint="eastAsia"/>
          <w:sz w:val="24"/>
        </w:rPr>
        <w:t>……</w:t>
      </w:r>
      <w:proofErr w:type="gramStart"/>
      <w:r>
        <w:rPr>
          <w:rFonts w:hint="eastAsia"/>
          <w:sz w:val="24"/>
        </w:rPr>
        <w:t>………………………</w:t>
      </w:r>
      <w:proofErr w:type="gramEnd"/>
      <w:r>
        <w:rPr>
          <w:rFonts w:hint="eastAsia"/>
          <w:sz w:val="24"/>
        </w:rPr>
        <w:t>12</w:t>
      </w:r>
    </w:p>
    <w:p w:rsidR="000415F0" w:rsidRDefault="00506E6A">
      <w:pPr>
        <w:pStyle w:val="20"/>
        <w:tabs>
          <w:tab w:val="right" w:leader="dot" w:pos="7980"/>
        </w:tabs>
        <w:adjustRightInd w:val="0"/>
        <w:snapToGrid w:val="0"/>
        <w:spacing w:line="460" w:lineRule="exact"/>
        <w:jc w:val="right"/>
        <w:rPr>
          <w:sz w:val="24"/>
        </w:rPr>
      </w:pPr>
      <w:r>
        <w:rPr>
          <w:rFonts w:hint="eastAsia"/>
          <w:sz w:val="24"/>
        </w:rPr>
        <w:t>九、国有资本经营预算支出决算情况说明</w:t>
      </w:r>
      <w:r>
        <w:rPr>
          <w:rFonts w:hint="eastAsia"/>
          <w:sz w:val="24"/>
        </w:rPr>
        <w:t xml:space="preserve"> </w:t>
      </w:r>
      <w:r>
        <w:rPr>
          <w:rFonts w:hint="eastAsia"/>
          <w:sz w:val="24"/>
        </w:rPr>
        <w:t>……</w:t>
      </w:r>
      <w:proofErr w:type="gramStart"/>
      <w:r>
        <w:rPr>
          <w:rFonts w:hint="eastAsia"/>
          <w:sz w:val="24"/>
        </w:rPr>
        <w:t>……………………</w:t>
      </w:r>
      <w:proofErr w:type="gramEnd"/>
      <w:r>
        <w:rPr>
          <w:rFonts w:hint="eastAsia"/>
          <w:sz w:val="24"/>
        </w:rPr>
        <w:t>12</w:t>
      </w:r>
    </w:p>
    <w:p w:rsidR="000415F0" w:rsidRDefault="00506E6A">
      <w:pPr>
        <w:pStyle w:val="20"/>
        <w:tabs>
          <w:tab w:val="right" w:leader="dot" w:pos="7980"/>
        </w:tabs>
        <w:adjustRightInd w:val="0"/>
        <w:snapToGrid w:val="0"/>
        <w:spacing w:line="460" w:lineRule="exact"/>
        <w:jc w:val="right"/>
        <w:rPr>
          <w:sz w:val="24"/>
        </w:rPr>
      </w:pPr>
      <w:r>
        <w:rPr>
          <w:rFonts w:hint="eastAsia"/>
          <w:sz w:val="24"/>
        </w:rPr>
        <w:t>十、其他重要事项的情况说明</w:t>
      </w:r>
      <w:r>
        <w:rPr>
          <w:rFonts w:hint="eastAsia"/>
          <w:sz w:val="24"/>
        </w:rPr>
        <w:t xml:space="preserve"> </w:t>
      </w:r>
      <w:r>
        <w:rPr>
          <w:rFonts w:hint="eastAsia"/>
          <w:sz w:val="24"/>
        </w:rPr>
        <w:t>……</w:t>
      </w:r>
      <w:proofErr w:type="gramStart"/>
      <w:r>
        <w:rPr>
          <w:rFonts w:hint="eastAsia"/>
          <w:sz w:val="24"/>
        </w:rPr>
        <w:t>…………………………………</w:t>
      </w:r>
      <w:proofErr w:type="gramEnd"/>
      <w:r>
        <w:rPr>
          <w:rFonts w:hint="eastAsia"/>
          <w:sz w:val="24"/>
        </w:rPr>
        <w:t>13</w:t>
      </w:r>
    </w:p>
    <w:p w:rsidR="000415F0" w:rsidRDefault="00506E6A" w:rsidP="00BD5564">
      <w:pPr>
        <w:pStyle w:val="10"/>
        <w:tabs>
          <w:tab w:val="right" w:leader="dot" w:pos="7980"/>
        </w:tabs>
        <w:adjustRightInd w:val="0"/>
        <w:snapToGrid w:val="0"/>
        <w:spacing w:before="0" w:line="460" w:lineRule="exact"/>
        <w:ind w:leftChars="303" w:left="636" w:firstLineChars="434" w:firstLine="1042"/>
        <w:jc w:val="right"/>
        <w:rPr>
          <w:sz w:val="24"/>
          <w:szCs w:val="24"/>
        </w:rPr>
      </w:pPr>
      <w:r>
        <w:rPr>
          <w:rFonts w:hint="eastAsia"/>
          <w:sz w:val="24"/>
        </w:rPr>
        <w:t>第三部分名词解释 ……</w:t>
      </w:r>
      <w:proofErr w:type="gramStart"/>
      <w:r>
        <w:rPr>
          <w:rFonts w:hint="eastAsia"/>
          <w:sz w:val="24"/>
        </w:rPr>
        <w:t>……………………………………………………</w:t>
      </w:r>
      <w:proofErr w:type="gramEnd"/>
      <w:r>
        <w:rPr>
          <w:rFonts w:hint="eastAsia"/>
          <w:sz w:val="24"/>
        </w:rPr>
        <w:t>14</w:t>
      </w:r>
    </w:p>
    <w:p w:rsidR="000415F0" w:rsidRDefault="00506E6A">
      <w:pPr>
        <w:pStyle w:val="10"/>
        <w:tabs>
          <w:tab w:val="right" w:leader="dot" w:pos="7980"/>
        </w:tabs>
        <w:adjustRightInd w:val="0"/>
        <w:snapToGrid w:val="0"/>
        <w:spacing w:before="0" w:line="460" w:lineRule="exact"/>
        <w:jc w:val="right"/>
        <w:rPr>
          <w:sz w:val="24"/>
          <w:szCs w:val="24"/>
        </w:rPr>
      </w:pPr>
      <w:r>
        <w:rPr>
          <w:rFonts w:hint="eastAsia"/>
          <w:sz w:val="24"/>
        </w:rPr>
        <w:t>第四部分附件 ……</w:t>
      </w:r>
      <w:proofErr w:type="gramStart"/>
      <w:r>
        <w:rPr>
          <w:rFonts w:hint="eastAsia"/>
          <w:sz w:val="24"/>
        </w:rPr>
        <w:t>…………………………………………………………</w:t>
      </w:r>
      <w:proofErr w:type="gramEnd"/>
      <w:r>
        <w:rPr>
          <w:rFonts w:hint="eastAsia"/>
          <w:sz w:val="24"/>
        </w:rPr>
        <w:t>17</w:t>
      </w:r>
    </w:p>
    <w:p w:rsidR="000415F0" w:rsidRDefault="00506E6A">
      <w:pPr>
        <w:pStyle w:val="10"/>
        <w:tabs>
          <w:tab w:val="right" w:leader="dot" w:pos="7980"/>
        </w:tabs>
        <w:adjustRightInd w:val="0"/>
        <w:snapToGrid w:val="0"/>
        <w:spacing w:before="0" w:line="460" w:lineRule="exact"/>
        <w:jc w:val="right"/>
        <w:rPr>
          <w:sz w:val="24"/>
          <w:szCs w:val="24"/>
        </w:rPr>
      </w:pPr>
      <w:r>
        <w:rPr>
          <w:rFonts w:hint="eastAsia"/>
          <w:sz w:val="24"/>
        </w:rPr>
        <w:t>第五部分附表 ……</w:t>
      </w:r>
      <w:proofErr w:type="gramStart"/>
      <w:r>
        <w:rPr>
          <w:rFonts w:hint="eastAsia"/>
          <w:sz w:val="24"/>
        </w:rPr>
        <w:t>…………………………………………………………</w:t>
      </w:r>
      <w:proofErr w:type="gramEnd"/>
      <w:r>
        <w:rPr>
          <w:rFonts w:hint="eastAsia"/>
          <w:sz w:val="24"/>
        </w:rPr>
        <w:t>19</w:t>
      </w:r>
    </w:p>
    <w:p w:rsidR="000415F0" w:rsidRDefault="00506E6A">
      <w:pPr>
        <w:pStyle w:val="20"/>
        <w:tabs>
          <w:tab w:val="right" w:leader="dot" w:pos="7980"/>
        </w:tabs>
        <w:adjustRightInd w:val="0"/>
        <w:snapToGrid w:val="0"/>
        <w:spacing w:line="460" w:lineRule="exact"/>
        <w:jc w:val="right"/>
        <w:rPr>
          <w:sz w:val="24"/>
        </w:rPr>
      </w:pPr>
      <w:r>
        <w:rPr>
          <w:rFonts w:hint="eastAsia"/>
          <w:sz w:val="24"/>
        </w:rPr>
        <w:t>一、收入支出决算总表……</w:t>
      </w:r>
      <w:proofErr w:type="gramStart"/>
      <w:r>
        <w:rPr>
          <w:rFonts w:hint="eastAsia"/>
          <w:sz w:val="24"/>
        </w:rPr>
        <w:t>……………………………………………</w:t>
      </w:r>
      <w:proofErr w:type="gramEnd"/>
      <w:r>
        <w:rPr>
          <w:rFonts w:hint="eastAsia"/>
          <w:sz w:val="24"/>
        </w:rPr>
        <w:t>20</w:t>
      </w:r>
    </w:p>
    <w:p w:rsidR="000415F0" w:rsidRDefault="00506E6A">
      <w:pPr>
        <w:pStyle w:val="20"/>
        <w:tabs>
          <w:tab w:val="right" w:leader="dot" w:pos="7980"/>
        </w:tabs>
        <w:adjustRightInd w:val="0"/>
        <w:snapToGrid w:val="0"/>
        <w:spacing w:line="460" w:lineRule="exact"/>
        <w:jc w:val="right"/>
        <w:rPr>
          <w:sz w:val="24"/>
        </w:rPr>
      </w:pPr>
      <w:r>
        <w:rPr>
          <w:rFonts w:hint="eastAsia"/>
          <w:sz w:val="24"/>
        </w:rPr>
        <w:t>二、收入决算表……</w:t>
      </w:r>
      <w:proofErr w:type="gramStart"/>
      <w:r>
        <w:rPr>
          <w:rFonts w:hint="eastAsia"/>
          <w:sz w:val="24"/>
        </w:rPr>
        <w:t>……………………………………………………</w:t>
      </w:r>
      <w:proofErr w:type="gramEnd"/>
      <w:r>
        <w:rPr>
          <w:rFonts w:hint="eastAsia"/>
          <w:sz w:val="24"/>
        </w:rPr>
        <w:t>21</w:t>
      </w:r>
    </w:p>
    <w:p w:rsidR="000415F0" w:rsidRDefault="00506E6A">
      <w:pPr>
        <w:pStyle w:val="20"/>
        <w:tabs>
          <w:tab w:val="right" w:leader="dot" w:pos="7980"/>
        </w:tabs>
        <w:adjustRightInd w:val="0"/>
        <w:snapToGrid w:val="0"/>
        <w:spacing w:line="460" w:lineRule="exact"/>
        <w:jc w:val="right"/>
        <w:rPr>
          <w:sz w:val="24"/>
        </w:rPr>
      </w:pPr>
      <w:r>
        <w:rPr>
          <w:rFonts w:hint="eastAsia"/>
          <w:sz w:val="24"/>
        </w:rPr>
        <w:t>三、支出决算表……</w:t>
      </w:r>
      <w:proofErr w:type="gramStart"/>
      <w:r>
        <w:rPr>
          <w:rFonts w:hint="eastAsia"/>
          <w:sz w:val="24"/>
        </w:rPr>
        <w:t>……………………………………………………</w:t>
      </w:r>
      <w:proofErr w:type="gramEnd"/>
      <w:r>
        <w:rPr>
          <w:rFonts w:hint="eastAsia"/>
          <w:sz w:val="24"/>
        </w:rPr>
        <w:t>22</w:t>
      </w:r>
    </w:p>
    <w:p w:rsidR="000415F0" w:rsidRDefault="00506E6A">
      <w:pPr>
        <w:pStyle w:val="20"/>
        <w:tabs>
          <w:tab w:val="right" w:leader="dot" w:pos="7980"/>
        </w:tabs>
        <w:adjustRightInd w:val="0"/>
        <w:snapToGrid w:val="0"/>
        <w:spacing w:line="460" w:lineRule="exact"/>
        <w:jc w:val="right"/>
        <w:rPr>
          <w:sz w:val="24"/>
        </w:rPr>
      </w:pPr>
      <w:r>
        <w:rPr>
          <w:rFonts w:hint="eastAsia"/>
          <w:sz w:val="24"/>
        </w:rPr>
        <w:t>四、财政拨款收入支出决算总表……</w:t>
      </w:r>
      <w:proofErr w:type="gramStart"/>
      <w:r>
        <w:rPr>
          <w:rFonts w:hint="eastAsia"/>
          <w:sz w:val="24"/>
        </w:rPr>
        <w:t>…………………………………</w:t>
      </w:r>
      <w:proofErr w:type="gramEnd"/>
      <w:r>
        <w:rPr>
          <w:rFonts w:hint="eastAsia"/>
          <w:sz w:val="24"/>
        </w:rPr>
        <w:t>23</w:t>
      </w:r>
    </w:p>
    <w:p w:rsidR="000415F0" w:rsidRDefault="00506E6A">
      <w:pPr>
        <w:pStyle w:val="20"/>
        <w:tabs>
          <w:tab w:val="right" w:leader="dot" w:pos="7980"/>
        </w:tabs>
        <w:adjustRightInd w:val="0"/>
        <w:snapToGrid w:val="0"/>
        <w:spacing w:line="460" w:lineRule="exact"/>
        <w:jc w:val="right"/>
        <w:rPr>
          <w:sz w:val="24"/>
        </w:rPr>
      </w:pPr>
      <w:r>
        <w:rPr>
          <w:rFonts w:hint="eastAsia"/>
          <w:sz w:val="24"/>
        </w:rPr>
        <w:t>五、财政拨款支出决算明细表……</w:t>
      </w:r>
      <w:proofErr w:type="gramStart"/>
      <w:r>
        <w:rPr>
          <w:rFonts w:hint="eastAsia"/>
          <w:sz w:val="24"/>
        </w:rPr>
        <w:t>……………………………………</w:t>
      </w:r>
      <w:proofErr w:type="gramEnd"/>
      <w:r>
        <w:rPr>
          <w:rFonts w:hint="eastAsia"/>
          <w:sz w:val="24"/>
        </w:rPr>
        <w:t>24</w:t>
      </w:r>
    </w:p>
    <w:p w:rsidR="000415F0" w:rsidRDefault="00506E6A">
      <w:pPr>
        <w:pStyle w:val="20"/>
        <w:tabs>
          <w:tab w:val="right" w:leader="dot" w:pos="7980"/>
        </w:tabs>
        <w:adjustRightInd w:val="0"/>
        <w:snapToGrid w:val="0"/>
        <w:spacing w:line="460" w:lineRule="exact"/>
        <w:jc w:val="right"/>
        <w:rPr>
          <w:sz w:val="24"/>
        </w:rPr>
      </w:pPr>
      <w:r>
        <w:rPr>
          <w:rFonts w:hint="eastAsia"/>
          <w:sz w:val="24"/>
        </w:rPr>
        <w:t>六、一般公共预算财政拨款支出决算表……</w:t>
      </w:r>
      <w:proofErr w:type="gramStart"/>
      <w:r>
        <w:rPr>
          <w:rFonts w:hint="eastAsia"/>
          <w:sz w:val="24"/>
        </w:rPr>
        <w:t>…………………………</w:t>
      </w:r>
      <w:proofErr w:type="gramEnd"/>
      <w:r>
        <w:rPr>
          <w:rFonts w:hint="eastAsia"/>
          <w:sz w:val="24"/>
        </w:rPr>
        <w:t>25</w:t>
      </w:r>
    </w:p>
    <w:p w:rsidR="000415F0" w:rsidRDefault="00506E6A">
      <w:pPr>
        <w:pStyle w:val="20"/>
        <w:tabs>
          <w:tab w:val="right" w:leader="dot" w:pos="7980"/>
        </w:tabs>
        <w:adjustRightInd w:val="0"/>
        <w:snapToGrid w:val="0"/>
        <w:spacing w:line="460" w:lineRule="exact"/>
        <w:jc w:val="right"/>
        <w:rPr>
          <w:sz w:val="24"/>
        </w:rPr>
      </w:pPr>
      <w:r>
        <w:rPr>
          <w:rFonts w:hint="eastAsia"/>
          <w:sz w:val="24"/>
        </w:rPr>
        <w:t>七、一般公共预算财政拨款支出决算明细表……</w:t>
      </w:r>
      <w:proofErr w:type="gramStart"/>
      <w:r>
        <w:rPr>
          <w:rFonts w:hint="eastAsia"/>
          <w:sz w:val="24"/>
        </w:rPr>
        <w:t>……………………</w:t>
      </w:r>
      <w:proofErr w:type="gramEnd"/>
      <w:r>
        <w:rPr>
          <w:rFonts w:hint="eastAsia"/>
          <w:sz w:val="24"/>
        </w:rPr>
        <w:t>26</w:t>
      </w:r>
    </w:p>
    <w:p w:rsidR="000415F0" w:rsidRDefault="00506E6A">
      <w:pPr>
        <w:pStyle w:val="20"/>
        <w:tabs>
          <w:tab w:val="right" w:leader="dot" w:pos="7980"/>
        </w:tabs>
        <w:adjustRightInd w:val="0"/>
        <w:snapToGrid w:val="0"/>
        <w:spacing w:line="460" w:lineRule="exact"/>
        <w:jc w:val="right"/>
        <w:rPr>
          <w:sz w:val="24"/>
        </w:rPr>
      </w:pPr>
      <w:r>
        <w:rPr>
          <w:rFonts w:hint="eastAsia"/>
          <w:sz w:val="24"/>
        </w:rPr>
        <w:t>八、一般公共预算财政拨款基本支出决算表……</w:t>
      </w:r>
      <w:proofErr w:type="gramStart"/>
      <w:r>
        <w:rPr>
          <w:rFonts w:hint="eastAsia"/>
          <w:sz w:val="24"/>
        </w:rPr>
        <w:t>……………………</w:t>
      </w:r>
      <w:proofErr w:type="gramEnd"/>
      <w:r>
        <w:rPr>
          <w:rFonts w:hint="eastAsia"/>
          <w:sz w:val="24"/>
        </w:rPr>
        <w:t>27</w:t>
      </w:r>
    </w:p>
    <w:p w:rsidR="000415F0" w:rsidRDefault="00506E6A">
      <w:pPr>
        <w:pStyle w:val="20"/>
        <w:tabs>
          <w:tab w:val="right" w:leader="dot" w:pos="7980"/>
        </w:tabs>
        <w:adjustRightInd w:val="0"/>
        <w:snapToGrid w:val="0"/>
        <w:spacing w:line="460" w:lineRule="exact"/>
        <w:jc w:val="right"/>
        <w:rPr>
          <w:sz w:val="24"/>
        </w:rPr>
      </w:pPr>
      <w:r>
        <w:rPr>
          <w:rFonts w:hint="eastAsia"/>
          <w:sz w:val="24"/>
        </w:rPr>
        <w:t>九、一般公共预算财政拨款项目支出决算表……</w:t>
      </w:r>
      <w:proofErr w:type="gramStart"/>
      <w:r>
        <w:rPr>
          <w:rFonts w:hint="eastAsia"/>
          <w:sz w:val="24"/>
        </w:rPr>
        <w:t>……………………</w:t>
      </w:r>
      <w:proofErr w:type="gramEnd"/>
      <w:r>
        <w:rPr>
          <w:rFonts w:hint="eastAsia"/>
          <w:sz w:val="24"/>
        </w:rPr>
        <w:t>28</w:t>
      </w:r>
    </w:p>
    <w:p w:rsidR="000415F0" w:rsidRDefault="00506E6A">
      <w:pPr>
        <w:pStyle w:val="20"/>
        <w:tabs>
          <w:tab w:val="right" w:leader="dot" w:pos="7980"/>
        </w:tabs>
        <w:adjustRightInd w:val="0"/>
        <w:snapToGrid w:val="0"/>
        <w:spacing w:line="460" w:lineRule="exact"/>
        <w:jc w:val="right"/>
        <w:rPr>
          <w:sz w:val="24"/>
        </w:rPr>
      </w:pPr>
      <w:r>
        <w:rPr>
          <w:rFonts w:hint="eastAsia"/>
          <w:sz w:val="24"/>
        </w:rPr>
        <w:lastRenderedPageBreak/>
        <w:t>十、一般公共预算财政拨款“三公”经费支出决算表……</w:t>
      </w:r>
      <w:proofErr w:type="gramStart"/>
      <w:r>
        <w:rPr>
          <w:rFonts w:hint="eastAsia"/>
          <w:sz w:val="24"/>
        </w:rPr>
        <w:t>…………</w:t>
      </w:r>
      <w:proofErr w:type="gramEnd"/>
      <w:r>
        <w:rPr>
          <w:rFonts w:hint="eastAsia"/>
          <w:sz w:val="24"/>
        </w:rPr>
        <w:t>29</w:t>
      </w:r>
    </w:p>
    <w:p w:rsidR="000415F0" w:rsidRDefault="00506E6A">
      <w:pPr>
        <w:pStyle w:val="20"/>
        <w:tabs>
          <w:tab w:val="right" w:leader="dot" w:pos="7980"/>
        </w:tabs>
        <w:adjustRightInd w:val="0"/>
        <w:snapToGrid w:val="0"/>
        <w:spacing w:line="460" w:lineRule="exact"/>
        <w:jc w:val="right"/>
        <w:rPr>
          <w:sz w:val="24"/>
        </w:rPr>
      </w:pPr>
      <w:r>
        <w:rPr>
          <w:rFonts w:hint="eastAsia"/>
          <w:sz w:val="24"/>
        </w:rPr>
        <w:t>十一、政府性基金预算财政拨款收入支出决算表……</w:t>
      </w:r>
      <w:proofErr w:type="gramStart"/>
      <w:r>
        <w:rPr>
          <w:rFonts w:hint="eastAsia"/>
          <w:sz w:val="24"/>
        </w:rPr>
        <w:t>………………</w:t>
      </w:r>
      <w:proofErr w:type="gramEnd"/>
      <w:r>
        <w:rPr>
          <w:rFonts w:hint="eastAsia"/>
          <w:sz w:val="24"/>
        </w:rPr>
        <w:t>30</w:t>
      </w:r>
    </w:p>
    <w:p w:rsidR="000415F0" w:rsidRDefault="00506E6A">
      <w:pPr>
        <w:pStyle w:val="20"/>
        <w:tabs>
          <w:tab w:val="right" w:leader="dot" w:pos="7980"/>
        </w:tabs>
        <w:adjustRightInd w:val="0"/>
        <w:snapToGrid w:val="0"/>
        <w:spacing w:line="460" w:lineRule="exact"/>
        <w:jc w:val="right"/>
        <w:rPr>
          <w:sz w:val="24"/>
        </w:rPr>
      </w:pPr>
      <w:r>
        <w:rPr>
          <w:rFonts w:hint="eastAsia"/>
          <w:sz w:val="24"/>
        </w:rPr>
        <w:t>十二、政府性基金预算财政拨款“三公”经费支出决算表……</w:t>
      </w:r>
      <w:proofErr w:type="gramStart"/>
      <w:r>
        <w:rPr>
          <w:rFonts w:hint="eastAsia"/>
          <w:sz w:val="24"/>
        </w:rPr>
        <w:t>……</w:t>
      </w:r>
      <w:proofErr w:type="gramEnd"/>
      <w:r>
        <w:rPr>
          <w:rFonts w:hint="eastAsia"/>
          <w:sz w:val="24"/>
        </w:rPr>
        <w:t>31</w:t>
      </w:r>
    </w:p>
    <w:p w:rsidR="000415F0" w:rsidRDefault="00506E6A">
      <w:pPr>
        <w:pStyle w:val="20"/>
        <w:tabs>
          <w:tab w:val="right" w:leader="dot" w:pos="7980"/>
        </w:tabs>
        <w:adjustRightInd w:val="0"/>
        <w:snapToGrid w:val="0"/>
        <w:spacing w:line="460" w:lineRule="exact"/>
        <w:jc w:val="right"/>
        <w:rPr>
          <w:sz w:val="24"/>
        </w:rPr>
      </w:pPr>
      <w:r>
        <w:rPr>
          <w:rFonts w:hint="eastAsia"/>
          <w:sz w:val="24"/>
        </w:rPr>
        <w:t>十三、国有资本经营预算财政拨款收入支出决算表……</w:t>
      </w:r>
      <w:proofErr w:type="gramStart"/>
      <w:r>
        <w:rPr>
          <w:rFonts w:hint="eastAsia"/>
          <w:sz w:val="24"/>
        </w:rPr>
        <w:t>……………</w:t>
      </w:r>
      <w:proofErr w:type="gramEnd"/>
      <w:r>
        <w:rPr>
          <w:rFonts w:hint="eastAsia"/>
          <w:sz w:val="24"/>
        </w:rPr>
        <w:t>32</w:t>
      </w:r>
    </w:p>
    <w:p w:rsidR="000415F0" w:rsidRDefault="00506E6A">
      <w:pPr>
        <w:pStyle w:val="20"/>
        <w:adjustRightInd w:val="0"/>
        <w:snapToGrid w:val="0"/>
        <w:spacing w:line="440" w:lineRule="exact"/>
        <w:ind w:firstLineChars="700" w:firstLine="1680"/>
        <w:jc w:val="left"/>
        <w:rPr>
          <w:sz w:val="24"/>
        </w:rPr>
      </w:pPr>
      <w:r>
        <w:rPr>
          <w:rFonts w:hint="eastAsia"/>
          <w:sz w:val="24"/>
        </w:rPr>
        <w:t>十四、国有资本经营预算财政拨款支出决算表……</w:t>
      </w:r>
      <w:proofErr w:type="gramStart"/>
      <w:r>
        <w:rPr>
          <w:rFonts w:hint="eastAsia"/>
          <w:sz w:val="24"/>
        </w:rPr>
        <w:t>…………………</w:t>
      </w:r>
      <w:proofErr w:type="gramEnd"/>
      <w:r>
        <w:rPr>
          <w:rFonts w:hint="eastAsia"/>
          <w:sz w:val="24"/>
        </w:rPr>
        <w:t>33</w:t>
      </w:r>
      <w:bookmarkStart w:id="12" w:name="_GoBack"/>
      <w:bookmarkEnd w:id="12"/>
    </w:p>
    <w:p w:rsidR="000415F0" w:rsidRDefault="00506E6A">
      <w:pPr>
        <w:widowControl/>
        <w:spacing w:line="440" w:lineRule="exact"/>
        <w:ind w:firstLineChars="200" w:firstLine="482"/>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0415F0" w:rsidRDefault="00506E6A">
      <w:pPr>
        <w:pStyle w:val="1"/>
        <w:ind w:firstLineChars="200" w:firstLine="880"/>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3"/>
      <w:bookmarkEnd w:id="14"/>
    </w:p>
    <w:p w:rsidR="000415F0" w:rsidRDefault="000415F0">
      <w:pPr>
        <w:widowControl/>
        <w:jc w:val="left"/>
        <w:rPr>
          <w:rFonts w:ascii="黑体" w:eastAsia="黑体"/>
          <w:sz w:val="32"/>
          <w:szCs w:val="32"/>
        </w:rPr>
      </w:pPr>
    </w:p>
    <w:p w:rsidR="000415F0" w:rsidRDefault="00506E6A">
      <w:pPr>
        <w:pStyle w:val="2"/>
        <w:numPr>
          <w:ilvl w:val="0"/>
          <w:numId w:val="1"/>
        </w:numPr>
        <w:ind w:firstLineChars="200" w:firstLine="640"/>
        <w:rPr>
          <w:rStyle w:val="2Char"/>
          <w:rFonts w:ascii="黑体" w:eastAsia="黑体" w:hAnsi="黑体"/>
        </w:rPr>
      </w:pPr>
      <w:bookmarkStart w:id="15" w:name="_Toc15396600"/>
      <w:bookmarkStart w:id="16" w:name="_Toc15377197"/>
      <w:r>
        <w:rPr>
          <w:rStyle w:val="2Char"/>
          <w:rFonts w:ascii="黑体" w:eastAsia="黑体" w:hAnsi="黑体" w:hint="eastAsia"/>
        </w:rPr>
        <w:t>职能简介</w:t>
      </w:r>
    </w:p>
    <w:p w:rsidR="000415F0" w:rsidRDefault="00506E6A">
      <w:pPr>
        <w:numPr>
          <w:ilvl w:val="0"/>
          <w:numId w:val="2"/>
        </w:num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主要职能。</w:t>
      </w:r>
    </w:p>
    <w:p w:rsidR="000415F0" w:rsidRDefault="00506E6A">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负责全市林业技术服务和新技术的推广应用；负责全市森林草原资源数据信息库建设；承担全市森林草原防火事务性工作；负责全市森林草原管护站点的指导和服务。</w:t>
      </w:r>
    </w:p>
    <w:p w:rsidR="000415F0" w:rsidRDefault="000415F0" w:rsidP="00BD5564">
      <w:pPr>
        <w:pStyle w:val="a0"/>
        <w:spacing w:before="93"/>
      </w:pPr>
    </w:p>
    <w:p w:rsidR="000415F0" w:rsidRDefault="00506E6A">
      <w:pPr>
        <w:pStyle w:val="2"/>
        <w:ind w:firstLineChars="200" w:firstLine="640"/>
        <w:rPr>
          <w:rFonts w:ascii="黑体" w:eastAsia="黑体" w:hAnsi="黑体"/>
          <w:b w:val="0"/>
        </w:rPr>
      </w:pPr>
      <w:r>
        <w:rPr>
          <w:rFonts w:ascii="黑体" w:eastAsia="黑体" w:hAnsi="黑体" w:hint="eastAsia"/>
          <w:b w:val="0"/>
        </w:rPr>
        <w:t>二、2021年重点工作</w:t>
      </w:r>
      <w:bookmarkEnd w:id="15"/>
      <w:bookmarkEnd w:id="16"/>
      <w:r>
        <w:rPr>
          <w:rFonts w:ascii="黑体" w:eastAsia="黑体" w:hAnsi="黑体" w:hint="eastAsia"/>
          <w:b w:val="0"/>
        </w:rPr>
        <w:t>完成情况</w:t>
      </w:r>
    </w:p>
    <w:p w:rsidR="000415F0" w:rsidRDefault="00506E6A">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概述部门工作开展情况及主要事业成效。</w:t>
      </w:r>
    </w:p>
    <w:p w:rsidR="000415F0" w:rsidRDefault="00506E6A">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对林业技术服务和新技术的推广，森林草原资源数据库建设，管护站点建设指导。</w:t>
      </w:r>
    </w:p>
    <w:p w:rsidR="000415F0" w:rsidRDefault="000415F0"/>
    <w:p w:rsidR="00A47267" w:rsidRDefault="00A47267" w:rsidP="00A47267">
      <w:pPr>
        <w:pStyle w:val="2"/>
        <w:ind w:firstLineChars="200" w:firstLine="643"/>
        <w:rPr>
          <w:rFonts w:ascii="黑体" w:eastAsia="黑体" w:hAnsi="黑体"/>
          <w:b w:val="0"/>
        </w:rPr>
      </w:pPr>
      <w:r>
        <w:rPr>
          <w:rFonts w:ascii="仿宋" w:eastAsia="仿宋" w:hAnsi="仿宋" w:hint="eastAsia"/>
        </w:rPr>
        <w:t xml:space="preserve"> </w:t>
      </w:r>
      <w:r>
        <w:rPr>
          <w:rFonts w:ascii="黑体" w:eastAsia="黑体" w:hAnsi="黑体" w:hint="eastAsia"/>
          <w:b w:val="0"/>
        </w:rPr>
        <w:t>三、机构设置</w:t>
      </w:r>
    </w:p>
    <w:p w:rsidR="00D80712" w:rsidRDefault="00A47267" w:rsidP="00A47267">
      <w:pPr>
        <w:snapToGrid w:val="0"/>
        <w:spacing w:line="520" w:lineRule="exact"/>
        <w:ind w:firstLineChars="200" w:firstLine="420"/>
      </w:pPr>
      <w:r>
        <w:rPr>
          <w:rFonts w:hint="eastAsia"/>
        </w:rPr>
        <w:t xml:space="preserve">    </w:t>
      </w:r>
    </w:p>
    <w:p w:rsidR="00D80712" w:rsidRDefault="00D80712" w:rsidP="00D80712">
      <w:pPr>
        <w:spacing w:line="578" w:lineRule="exact"/>
        <w:ind w:firstLineChars="200" w:firstLine="640"/>
        <w:rPr>
          <w:rFonts w:ascii="仿宋_GB2312" w:eastAsia="仿宋_GB2312"/>
          <w:sz w:val="32"/>
          <w:szCs w:val="32"/>
        </w:rPr>
      </w:pPr>
      <w:r>
        <w:rPr>
          <w:rFonts w:ascii="仿宋_GB2312" w:eastAsia="仿宋_GB2312" w:hint="eastAsia"/>
          <w:sz w:val="32"/>
          <w:szCs w:val="32"/>
        </w:rPr>
        <w:t>攀枝花市林业技术服务中心属于攀枝花市林业局下属的二级预算单位，为全额拨款公益一类事业单位，下设独立编制机构0个，其中行政机构0个，参照公务员法管理的事业机构0个，其它事业机构0个。</w:t>
      </w:r>
    </w:p>
    <w:p w:rsidR="00D80712" w:rsidRDefault="00D80712" w:rsidP="00D80712">
      <w:pPr>
        <w:spacing w:line="578" w:lineRule="exact"/>
        <w:ind w:firstLineChars="200" w:firstLine="640"/>
      </w:pPr>
      <w:r>
        <w:rPr>
          <w:rFonts w:ascii="仿宋_GB2312" w:eastAsia="仿宋_GB2312" w:hint="eastAsia"/>
          <w:sz w:val="32"/>
          <w:szCs w:val="32"/>
        </w:rPr>
        <w:t>纳入2021年度单位决算编制范围的独立编制机构仅有攀枝花</w:t>
      </w:r>
      <w:r>
        <w:rPr>
          <w:rFonts w:ascii="仿宋_GB2312" w:eastAsia="仿宋_GB2312" w:hint="eastAsia"/>
          <w:sz w:val="32"/>
          <w:szCs w:val="32"/>
        </w:rPr>
        <w:lastRenderedPageBreak/>
        <w:t>市林业技术服务中心。</w:t>
      </w:r>
    </w:p>
    <w:p w:rsidR="000415F0" w:rsidRPr="00A47267" w:rsidRDefault="000415F0" w:rsidP="00A47267">
      <w:pPr>
        <w:rPr>
          <w:rFonts w:ascii="仿宋" w:eastAsia="仿宋" w:hAnsi="仿宋"/>
          <w:kern w:val="0"/>
          <w:sz w:val="32"/>
          <w:szCs w:val="32"/>
        </w:rPr>
      </w:pPr>
    </w:p>
    <w:p w:rsidR="000415F0" w:rsidRDefault="00506E6A">
      <w:pPr>
        <w:pStyle w:val="1"/>
        <w:ind w:right="440" w:firstLineChars="200" w:firstLine="880"/>
        <w:jc w:val="center"/>
        <w:rPr>
          <w:rStyle w:val="1Char"/>
          <w:rFonts w:ascii="黑体" w:eastAsia="黑体" w:hAnsi="黑体"/>
          <w:bCs/>
        </w:rPr>
      </w:pPr>
      <w:bookmarkStart w:id="17" w:name="_Toc15377204"/>
      <w:bookmarkStart w:id="18" w:name="_Toc15396602"/>
      <w:r>
        <w:rPr>
          <w:rFonts w:ascii="黑体" w:eastAsia="黑体" w:hAnsi="黑体" w:hint="eastAsia"/>
          <w:b w:val="0"/>
        </w:rPr>
        <w:t>第二部分 2021年度</w:t>
      </w:r>
      <w:r>
        <w:rPr>
          <w:rStyle w:val="1Char"/>
          <w:rFonts w:ascii="黑体" w:eastAsia="黑体" w:hAnsi="黑体" w:hint="eastAsia"/>
          <w:bCs/>
        </w:rPr>
        <w:t>单位决算情况说明</w:t>
      </w:r>
      <w:bookmarkEnd w:id="17"/>
      <w:bookmarkEnd w:id="18"/>
    </w:p>
    <w:p w:rsidR="000415F0" w:rsidRDefault="000415F0"/>
    <w:p w:rsidR="000415F0" w:rsidRDefault="00506E6A">
      <w:pPr>
        <w:pStyle w:val="a9"/>
        <w:numPr>
          <w:ilvl w:val="0"/>
          <w:numId w:val="3"/>
        </w:numPr>
        <w:spacing w:line="600" w:lineRule="exact"/>
        <w:ind w:firstLine="64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0415F0" w:rsidRDefault="00506E6A">
      <w:pPr>
        <w:ind w:firstLine="709"/>
        <w:rPr>
          <w:rFonts w:ascii="仿宋_GB2312" w:eastAsia="仿宋_GB2312" w:hAnsi="仿宋" w:cs="仿宋"/>
          <w:bCs/>
          <w:sz w:val="32"/>
          <w:szCs w:val="32"/>
        </w:rPr>
      </w:pPr>
      <w:r>
        <w:rPr>
          <w:rFonts w:ascii="仿宋" w:eastAsia="仿宋" w:hAnsi="仿宋" w:hint="eastAsia"/>
          <w:sz w:val="32"/>
          <w:szCs w:val="32"/>
        </w:rPr>
        <w:t>2021年度收入总计733.54万元，支出总计733.14万元。与2020年相比，收、支总计各增加</w:t>
      </w:r>
      <w:r>
        <w:rPr>
          <w:rFonts w:ascii="仿宋_GB2312" w:eastAsia="仿宋_GB2312" w:hAnsi="仿宋" w:hint="eastAsia"/>
          <w:sz w:val="32"/>
          <w:szCs w:val="32"/>
        </w:rPr>
        <w:t>222.57</w:t>
      </w:r>
      <w:r>
        <w:rPr>
          <w:rFonts w:ascii="仿宋" w:eastAsia="仿宋" w:hAnsi="仿宋" w:hint="eastAsia"/>
          <w:sz w:val="32"/>
          <w:szCs w:val="32"/>
        </w:rPr>
        <w:t>万元、221.69万元，增长</w:t>
      </w:r>
      <w:r>
        <w:rPr>
          <w:rFonts w:ascii="仿宋_GB2312" w:eastAsia="仿宋_GB2312" w:hAnsi="仿宋" w:cs="仿宋" w:hint="eastAsia"/>
          <w:bCs/>
          <w:sz w:val="32"/>
          <w:szCs w:val="32"/>
        </w:rPr>
        <w:t>43.56%、43.35%</w:t>
      </w:r>
      <w:r>
        <w:rPr>
          <w:rFonts w:ascii="仿宋" w:eastAsia="仿宋" w:hAnsi="仿宋" w:hint="eastAsia"/>
          <w:sz w:val="32"/>
          <w:szCs w:val="32"/>
        </w:rPr>
        <w:t>。主要变动原因是</w:t>
      </w:r>
      <w:r>
        <w:rPr>
          <w:rFonts w:ascii="仿宋_GB2312" w:eastAsia="仿宋_GB2312" w:hAnsi="仿宋" w:hint="eastAsia"/>
          <w:sz w:val="32"/>
          <w:szCs w:val="32"/>
        </w:rPr>
        <w:t>人员及项目增加</w:t>
      </w:r>
      <w:r>
        <w:rPr>
          <w:rFonts w:ascii="仿宋_GB2312" w:eastAsia="仿宋_GB2312" w:hAnsi="仿宋" w:cs="仿宋" w:hint="eastAsia"/>
          <w:bCs/>
          <w:sz w:val="32"/>
          <w:szCs w:val="32"/>
        </w:rPr>
        <w:t>。</w:t>
      </w:r>
    </w:p>
    <w:p w:rsidR="000415F0" w:rsidRDefault="000415F0">
      <w:pPr>
        <w:spacing w:line="600" w:lineRule="exact"/>
        <w:ind w:firstLineChars="200" w:firstLine="640"/>
        <w:rPr>
          <w:rFonts w:ascii="仿宋" w:eastAsia="仿宋_GB2312" w:hAnsi="仿宋"/>
          <w:sz w:val="32"/>
          <w:szCs w:val="32"/>
        </w:rPr>
      </w:pPr>
    </w:p>
    <w:p w:rsidR="000415F0" w:rsidRDefault="00506E6A" w:rsidP="00BD5564">
      <w:pPr>
        <w:pStyle w:val="a0"/>
        <w:spacing w:before="93"/>
        <w:rPr>
          <w:rFonts w:ascii="仿宋" w:hAnsi="仿宋"/>
          <w:sz w:val="32"/>
          <w:szCs w:val="32"/>
        </w:rPr>
      </w:pPr>
      <w:r>
        <w:rPr>
          <w:rFonts w:ascii="仿宋" w:hAnsi="仿宋" w:hint="eastAsia"/>
          <w:noProof/>
          <w:sz w:val="32"/>
          <w:szCs w:val="32"/>
        </w:rPr>
        <w:drawing>
          <wp:inline distT="0" distB="0" distL="114300" distR="114300">
            <wp:extent cx="5890260" cy="3125470"/>
            <wp:effectExtent l="4445" t="4445" r="10795"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15F0" w:rsidRDefault="000415F0" w:rsidP="00BD5564">
      <w:pPr>
        <w:pStyle w:val="a0"/>
        <w:spacing w:before="93"/>
        <w:rPr>
          <w:rFonts w:ascii="仿宋" w:hAnsi="仿宋"/>
          <w:sz w:val="32"/>
          <w:szCs w:val="32"/>
        </w:rPr>
      </w:pPr>
    </w:p>
    <w:p w:rsidR="000415F0" w:rsidRDefault="000415F0">
      <w:pPr>
        <w:spacing w:line="600" w:lineRule="exact"/>
        <w:ind w:firstLineChars="200" w:firstLine="640"/>
        <w:jc w:val="left"/>
        <w:rPr>
          <w:rFonts w:ascii="仿宋_GB2312" w:eastAsia="仿宋_GB2312"/>
          <w:sz w:val="32"/>
          <w:szCs w:val="32"/>
        </w:rPr>
      </w:pPr>
    </w:p>
    <w:p w:rsidR="000415F0" w:rsidRDefault="00506E6A">
      <w:pPr>
        <w:pStyle w:val="a9"/>
        <w:numPr>
          <w:ilvl w:val="0"/>
          <w:numId w:val="3"/>
        </w:numPr>
        <w:spacing w:line="600" w:lineRule="exact"/>
        <w:ind w:firstLine="640"/>
        <w:outlineLvl w:val="1"/>
        <w:rPr>
          <w:rStyle w:val="2Char"/>
          <w:rFonts w:ascii="黑体" w:eastAsia="黑体" w:hAnsi="黑体"/>
          <w:b w:val="0"/>
        </w:rPr>
      </w:pPr>
      <w:bookmarkStart w:id="21" w:name="_Toc15377206"/>
      <w:bookmarkStart w:id="2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0415F0" w:rsidRDefault="00506E6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21年本年收入合计733.54万元，其中：一般公共预算财政</w:t>
      </w:r>
      <w:r>
        <w:rPr>
          <w:rFonts w:ascii="仿宋" w:eastAsia="仿宋" w:hAnsi="仿宋" w:hint="eastAsia"/>
          <w:sz w:val="32"/>
          <w:szCs w:val="32"/>
        </w:rPr>
        <w:lastRenderedPageBreak/>
        <w:t>拨款收入732.93万元，占99.917</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；其他收入0.61万元，占0.083</w:t>
      </w:r>
      <w:r>
        <w:rPr>
          <w:rFonts w:ascii="仿宋" w:eastAsia="仿宋" w:hAnsi="仿宋"/>
          <w:sz w:val="32"/>
          <w:szCs w:val="32"/>
        </w:rPr>
        <w:t>%</w:t>
      </w:r>
      <w:r>
        <w:rPr>
          <w:rFonts w:ascii="仿宋" w:eastAsia="仿宋" w:hAnsi="仿宋" w:hint="eastAsia"/>
          <w:sz w:val="32"/>
          <w:szCs w:val="32"/>
        </w:rPr>
        <w:t>。</w:t>
      </w:r>
    </w:p>
    <w:p w:rsidR="000415F0" w:rsidRDefault="00506E6A">
      <w:pPr>
        <w:spacing w:line="600" w:lineRule="exact"/>
        <w:ind w:firstLineChars="200" w:firstLine="640"/>
        <w:outlineLvl w:val="1"/>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1">
            <wp:simplePos x="0" y="0"/>
            <wp:positionH relativeFrom="column">
              <wp:posOffset>775970</wp:posOffset>
            </wp:positionH>
            <wp:positionV relativeFrom="paragraph">
              <wp:posOffset>323850</wp:posOffset>
            </wp:positionV>
            <wp:extent cx="3585210" cy="1752600"/>
            <wp:effectExtent l="4445" t="4445" r="1079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415F0" w:rsidRDefault="000415F0">
      <w:pPr>
        <w:spacing w:line="600" w:lineRule="exact"/>
        <w:ind w:firstLineChars="200" w:firstLine="640"/>
        <w:rPr>
          <w:rFonts w:ascii="仿宋_GB2312" w:eastAsia="仿宋_GB2312"/>
          <w:sz w:val="32"/>
          <w:szCs w:val="32"/>
        </w:rPr>
      </w:pPr>
    </w:p>
    <w:p w:rsidR="000415F0" w:rsidRDefault="00506E6A">
      <w:pPr>
        <w:pStyle w:val="a9"/>
        <w:numPr>
          <w:ilvl w:val="0"/>
          <w:numId w:val="3"/>
        </w:numPr>
        <w:spacing w:line="600" w:lineRule="exact"/>
        <w:ind w:firstLine="640"/>
        <w:outlineLvl w:val="1"/>
        <w:rPr>
          <w:rStyle w:val="2Char"/>
          <w:rFonts w:ascii="黑体" w:eastAsia="黑体" w:hAnsi="黑体"/>
          <w:b w:val="0"/>
        </w:rPr>
      </w:pPr>
      <w:bookmarkStart w:id="23" w:name="_Toc15377207"/>
      <w:bookmarkStart w:id="24"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0415F0" w:rsidRDefault="00506E6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21年本年支出合计733.14万元，其中：基本支出680.73万元，占92.85</w:t>
      </w:r>
      <w:r>
        <w:rPr>
          <w:rFonts w:ascii="仿宋" w:eastAsia="仿宋" w:hAnsi="仿宋"/>
          <w:sz w:val="32"/>
          <w:szCs w:val="32"/>
        </w:rPr>
        <w:t>%</w:t>
      </w:r>
      <w:r>
        <w:rPr>
          <w:rFonts w:ascii="仿宋" w:eastAsia="仿宋" w:hAnsi="仿宋" w:hint="eastAsia"/>
          <w:sz w:val="32"/>
          <w:szCs w:val="32"/>
        </w:rPr>
        <w:t>；项目支出52.41万元，占7.15</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rsidR="000415F0" w:rsidRDefault="000415F0">
      <w:pPr>
        <w:spacing w:line="600" w:lineRule="exact"/>
        <w:ind w:firstLine="640"/>
        <w:rPr>
          <w:rFonts w:ascii="仿宋" w:eastAsia="仿宋" w:hAnsi="仿宋"/>
          <w:sz w:val="32"/>
          <w:szCs w:val="32"/>
          <w:shd w:val="pct10" w:color="auto" w:fill="FFFFFF"/>
        </w:rPr>
      </w:pPr>
    </w:p>
    <w:p w:rsidR="000415F0" w:rsidRDefault="00506E6A" w:rsidP="00BD5564">
      <w:pPr>
        <w:pStyle w:val="a0"/>
        <w:spacing w:before="93"/>
        <w:rPr>
          <w:rFonts w:ascii="仿宋" w:eastAsia="仿宋" w:hAnsi="仿宋"/>
          <w:sz w:val="32"/>
          <w:szCs w:val="32"/>
          <w:shd w:val="pct10" w:color="auto" w:fill="FFFFFF"/>
        </w:rPr>
      </w:pPr>
      <w:r>
        <w:rPr>
          <w:rFonts w:ascii="仿宋" w:eastAsia="仿宋" w:hAnsi="仿宋" w:hint="eastAsia"/>
          <w:noProof/>
          <w:sz w:val="32"/>
          <w:szCs w:val="32"/>
          <w:shd w:val="pct10" w:color="auto" w:fill="FFFFFF"/>
        </w:rPr>
        <w:lastRenderedPageBreak/>
        <w:drawing>
          <wp:inline distT="0" distB="0" distL="114300" distR="114300">
            <wp:extent cx="5433060" cy="2562225"/>
            <wp:effectExtent l="4445" t="4445" r="10795"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15F0" w:rsidRDefault="00506E6A">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0415F0" w:rsidRDefault="00506E6A">
      <w:pPr>
        <w:ind w:firstLine="709"/>
        <w:rPr>
          <w:rFonts w:ascii="仿宋_GB2312" w:eastAsia="仿宋_GB2312" w:hAnsi="仿宋" w:cs="仿宋"/>
          <w:bCs/>
          <w:sz w:val="32"/>
          <w:szCs w:val="32"/>
        </w:rPr>
      </w:pPr>
      <w:r>
        <w:rPr>
          <w:rFonts w:ascii="仿宋" w:eastAsia="仿宋_GB2312" w:hAnsi="仿宋" w:hint="eastAsia"/>
          <w:noProof/>
          <w:sz w:val="32"/>
          <w:szCs w:val="32"/>
        </w:rPr>
        <w:drawing>
          <wp:anchor distT="0" distB="0" distL="114300" distR="114300" simplePos="0" relativeHeight="251660288" behindDoc="0" locked="0" layoutInCell="1" allowOverlap="1">
            <wp:simplePos x="0" y="0"/>
            <wp:positionH relativeFrom="column">
              <wp:posOffset>-227330</wp:posOffset>
            </wp:positionH>
            <wp:positionV relativeFrom="paragraph">
              <wp:posOffset>2221865</wp:posOffset>
            </wp:positionV>
            <wp:extent cx="5890260" cy="3125470"/>
            <wp:effectExtent l="4445" t="4445" r="10795" b="1333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eastAsia="仿宋" w:hAnsi="仿宋"/>
          <w:sz w:val="32"/>
          <w:szCs w:val="32"/>
        </w:rPr>
        <w:t>20</w:t>
      </w:r>
      <w:r>
        <w:rPr>
          <w:rFonts w:ascii="仿宋" w:eastAsia="仿宋" w:hAnsi="仿宋" w:hint="eastAsia"/>
          <w:sz w:val="32"/>
          <w:szCs w:val="32"/>
        </w:rPr>
        <w:t>21年财政拨款收、支总计755.19万元。与</w:t>
      </w:r>
      <w:r>
        <w:rPr>
          <w:rFonts w:ascii="仿宋" w:eastAsia="仿宋" w:hAnsi="仿宋"/>
          <w:sz w:val="32"/>
          <w:szCs w:val="32"/>
        </w:rPr>
        <w:t>20</w:t>
      </w:r>
      <w:r>
        <w:rPr>
          <w:rFonts w:ascii="仿宋" w:eastAsia="仿宋" w:hAnsi="仿宋" w:hint="eastAsia"/>
          <w:sz w:val="32"/>
          <w:szCs w:val="32"/>
        </w:rPr>
        <w:t>20年相比，收、支总计各增加</w:t>
      </w:r>
      <w:r>
        <w:rPr>
          <w:rFonts w:ascii="仿宋_GB2312" w:eastAsia="仿宋_GB2312" w:hAnsi="仿宋" w:hint="eastAsia"/>
          <w:sz w:val="32"/>
          <w:szCs w:val="32"/>
        </w:rPr>
        <w:t>96.03</w:t>
      </w:r>
      <w:r>
        <w:rPr>
          <w:rFonts w:ascii="仿宋" w:eastAsia="仿宋" w:hAnsi="仿宋" w:hint="eastAsia"/>
          <w:sz w:val="32"/>
          <w:szCs w:val="32"/>
        </w:rPr>
        <w:t>万元、</w:t>
      </w:r>
      <w:r>
        <w:rPr>
          <w:rFonts w:ascii="仿宋_GB2312" w:eastAsia="仿宋_GB2312" w:hAnsi="仿宋" w:cs="仿宋" w:hint="eastAsia"/>
          <w:bCs/>
          <w:sz w:val="32"/>
          <w:szCs w:val="32"/>
        </w:rPr>
        <w:t>96.03万元，</w:t>
      </w:r>
      <w:r>
        <w:rPr>
          <w:rFonts w:ascii="仿宋" w:eastAsia="仿宋" w:hAnsi="仿宋" w:hint="eastAsia"/>
          <w:sz w:val="32"/>
          <w:szCs w:val="32"/>
        </w:rPr>
        <w:t>增加</w:t>
      </w:r>
      <w:r>
        <w:rPr>
          <w:rFonts w:ascii="仿宋_GB2312" w:eastAsia="仿宋_GB2312" w:hAnsi="仿宋" w:cs="仿宋" w:hint="eastAsia"/>
          <w:bCs/>
          <w:sz w:val="32"/>
          <w:szCs w:val="32"/>
        </w:rPr>
        <w:t>14.57%、14.57%</w:t>
      </w:r>
      <w:r>
        <w:rPr>
          <w:rFonts w:ascii="仿宋" w:eastAsia="仿宋" w:hAnsi="仿宋" w:hint="eastAsia"/>
          <w:sz w:val="32"/>
          <w:szCs w:val="32"/>
        </w:rPr>
        <w:t>。主要变动原因是</w:t>
      </w:r>
      <w:r>
        <w:rPr>
          <w:rFonts w:ascii="仿宋_GB2312" w:eastAsia="仿宋_GB2312" w:hAnsi="仿宋" w:hint="eastAsia"/>
          <w:sz w:val="32"/>
          <w:szCs w:val="32"/>
        </w:rPr>
        <w:t>人员及项目增加</w:t>
      </w:r>
      <w:r>
        <w:rPr>
          <w:rFonts w:ascii="仿宋_GB2312" w:eastAsia="仿宋_GB2312" w:hAnsi="仿宋" w:cs="仿宋" w:hint="eastAsia"/>
          <w:bCs/>
          <w:sz w:val="32"/>
          <w:szCs w:val="32"/>
        </w:rPr>
        <w:t>。</w:t>
      </w:r>
    </w:p>
    <w:p w:rsidR="000415F0" w:rsidRDefault="000415F0">
      <w:pPr>
        <w:spacing w:line="600" w:lineRule="exact"/>
        <w:ind w:firstLineChars="200" w:firstLine="640"/>
        <w:rPr>
          <w:rFonts w:ascii="仿宋" w:eastAsia="仿宋" w:hAnsi="仿宋"/>
          <w:color w:val="FF0000"/>
          <w:sz w:val="32"/>
          <w:szCs w:val="32"/>
        </w:rPr>
      </w:pPr>
    </w:p>
    <w:p w:rsidR="000415F0" w:rsidRDefault="000415F0">
      <w:pPr>
        <w:spacing w:line="600" w:lineRule="exact"/>
        <w:rPr>
          <w:rFonts w:ascii="仿宋" w:eastAsia="仿宋" w:hAnsi="仿宋"/>
          <w:sz w:val="32"/>
          <w:szCs w:val="32"/>
        </w:rPr>
      </w:pPr>
    </w:p>
    <w:p w:rsidR="000415F0" w:rsidRDefault="000415F0">
      <w:pPr>
        <w:spacing w:line="600" w:lineRule="exact"/>
        <w:ind w:firstLineChars="200" w:firstLine="640"/>
        <w:rPr>
          <w:rFonts w:ascii="仿宋" w:eastAsia="仿宋" w:hAnsi="仿宋"/>
          <w:sz w:val="32"/>
          <w:szCs w:val="32"/>
        </w:rPr>
      </w:pPr>
    </w:p>
    <w:p w:rsidR="000415F0" w:rsidRDefault="000415F0">
      <w:pPr>
        <w:spacing w:line="600" w:lineRule="exact"/>
        <w:ind w:firstLine="640"/>
        <w:rPr>
          <w:rFonts w:ascii="仿宋" w:eastAsia="仿宋" w:hAnsi="仿宋"/>
          <w:b/>
          <w:sz w:val="32"/>
          <w:szCs w:val="32"/>
        </w:rPr>
      </w:pPr>
    </w:p>
    <w:p w:rsidR="000415F0" w:rsidRDefault="00506E6A">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0415F0" w:rsidRDefault="00506E6A">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0415F0" w:rsidRDefault="00506E6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21年一般公共预算财政拨款支出1.78万元，占本年支出合计的0.24%。与</w:t>
      </w:r>
      <w:r>
        <w:rPr>
          <w:rFonts w:ascii="仿宋" w:eastAsia="仿宋" w:hAnsi="仿宋"/>
          <w:sz w:val="32"/>
          <w:szCs w:val="32"/>
        </w:rPr>
        <w:t>20</w:t>
      </w:r>
      <w:r>
        <w:rPr>
          <w:rFonts w:ascii="仿宋" w:eastAsia="仿宋" w:hAnsi="仿宋" w:hint="eastAsia"/>
          <w:sz w:val="32"/>
          <w:szCs w:val="32"/>
        </w:rPr>
        <w:t>20年相比，一般公共预算财政拨款支出增加1.78万元，增长100</w:t>
      </w:r>
      <w:r>
        <w:rPr>
          <w:rFonts w:ascii="仿宋" w:eastAsia="仿宋" w:hAnsi="仿宋"/>
          <w:sz w:val="32"/>
          <w:szCs w:val="32"/>
        </w:rPr>
        <w:t>%</w:t>
      </w:r>
      <w:r>
        <w:rPr>
          <w:rFonts w:ascii="仿宋" w:eastAsia="仿宋" w:hAnsi="仿宋" w:hint="eastAsia"/>
          <w:sz w:val="32"/>
          <w:szCs w:val="32"/>
        </w:rPr>
        <w:t>。主要变动原因是一般公共服务支出预算增加。</w:t>
      </w:r>
    </w:p>
    <w:p w:rsidR="000415F0" w:rsidRDefault="000415F0" w:rsidP="00BD5564">
      <w:pPr>
        <w:pStyle w:val="a0"/>
        <w:spacing w:before="93"/>
        <w:rPr>
          <w:rFonts w:ascii="仿宋" w:eastAsia="仿宋" w:hAnsi="仿宋"/>
          <w:sz w:val="32"/>
          <w:szCs w:val="32"/>
        </w:rPr>
      </w:pPr>
    </w:p>
    <w:p w:rsidR="000415F0" w:rsidRDefault="00506E6A" w:rsidP="00BD5564">
      <w:pPr>
        <w:pStyle w:val="a0"/>
        <w:spacing w:before="93"/>
        <w:rPr>
          <w:rFonts w:ascii="仿宋" w:eastAsia="仿宋" w:hAnsi="仿宋"/>
          <w:color w:val="FF0000"/>
          <w:sz w:val="32"/>
          <w:szCs w:val="32"/>
        </w:rPr>
      </w:pPr>
      <w:r>
        <w:rPr>
          <w:rFonts w:ascii="仿宋" w:eastAsia="仿宋" w:hAnsi="仿宋" w:hint="eastAsia"/>
          <w:noProof/>
          <w:color w:val="FF0000"/>
          <w:sz w:val="32"/>
          <w:szCs w:val="32"/>
        </w:rPr>
        <w:drawing>
          <wp:inline distT="0" distB="0" distL="114300" distR="114300">
            <wp:extent cx="5794375" cy="3791585"/>
            <wp:effectExtent l="4445" t="5080" r="11430"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15F0" w:rsidRDefault="00506E6A">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0415F0" w:rsidRDefault="00506E6A">
      <w:pPr>
        <w:spacing w:line="600" w:lineRule="exact"/>
        <w:ind w:firstLineChars="200"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1312" behindDoc="0" locked="0" layoutInCell="1" allowOverlap="1">
            <wp:simplePos x="0" y="0"/>
            <wp:positionH relativeFrom="column">
              <wp:posOffset>261620</wp:posOffset>
            </wp:positionH>
            <wp:positionV relativeFrom="paragraph">
              <wp:posOffset>2461260</wp:posOffset>
            </wp:positionV>
            <wp:extent cx="5022850" cy="3505835"/>
            <wp:effectExtent l="4445" t="4445" r="20955" b="1397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hAnsi="仿宋"/>
          <w:sz w:val="32"/>
          <w:szCs w:val="32"/>
        </w:rPr>
        <w:t>20</w:t>
      </w:r>
      <w:r>
        <w:rPr>
          <w:rFonts w:ascii="仿宋" w:eastAsia="仿宋" w:hAnsi="仿宋" w:hint="eastAsia"/>
          <w:sz w:val="32"/>
          <w:szCs w:val="32"/>
        </w:rPr>
        <w:t>21年一般公共预算财政拨款支出732.93万元，主要用于以下方面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支出1.78万元，占0.24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支出55.78万元，占7.61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sz w:val="32"/>
          <w:szCs w:val="32"/>
        </w:rPr>
        <w:t>支出42.71万元，占5.83</w:t>
      </w:r>
      <w:r>
        <w:rPr>
          <w:rFonts w:ascii="仿宋" w:eastAsia="仿宋" w:hAnsi="仿宋"/>
          <w:sz w:val="32"/>
          <w:szCs w:val="32"/>
        </w:rPr>
        <w:t>%</w:t>
      </w:r>
      <w:r>
        <w:rPr>
          <w:rFonts w:ascii="仿宋" w:eastAsia="仿宋" w:hAnsi="仿宋" w:hint="eastAsia"/>
          <w:sz w:val="32"/>
          <w:szCs w:val="32"/>
        </w:rPr>
        <w:t>；</w:t>
      </w:r>
      <w:r>
        <w:rPr>
          <w:rStyle w:val="a7"/>
          <w:rFonts w:ascii="仿宋" w:eastAsia="仿宋" w:hAnsi="仿宋" w:hint="eastAsia"/>
          <w:bCs/>
          <w:sz w:val="32"/>
          <w:szCs w:val="32"/>
        </w:rPr>
        <w:t>农林水支出</w:t>
      </w:r>
      <w:r>
        <w:rPr>
          <w:rStyle w:val="a7"/>
          <w:rFonts w:ascii="仿宋" w:eastAsia="仿宋" w:hAnsi="仿宋" w:hint="eastAsia"/>
          <w:b w:val="0"/>
          <w:bCs/>
          <w:sz w:val="32"/>
          <w:szCs w:val="32"/>
        </w:rPr>
        <w:t>632.66万元，占86.32%</w:t>
      </w:r>
      <w:r>
        <w:rPr>
          <w:rFonts w:ascii="仿宋" w:eastAsia="仿宋" w:hAnsi="仿宋" w:hint="eastAsia"/>
          <w:sz w:val="32"/>
          <w:szCs w:val="32"/>
        </w:rPr>
        <w:t>。</w:t>
      </w:r>
    </w:p>
    <w:p w:rsidR="000415F0" w:rsidRDefault="00506E6A">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0415F0" w:rsidRDefault="00506E6A">
      <w:pPr>
        <w:spacing w:line="600" w:lineRule="exact"/>
        <w:ind w:firstLineChars="200" w:firstLine="643"/>
        <w:outlineLvl w:val="2"/>
        <w:rPr>
          <w:rFonts w:ascii="仿宋" w:eastAsia="仿宋" w:hAnsi="仿宋"/>
          <w:sz w:val="32"/>
          <w:szCs w:val="32"/>
        </w:rPr>
      </w:pPr>
      <w:bookmarkStart w:id="32" w:name="_Toc15378460"/>
      <w:bookmarkStart w:id="33" w:name="_Toc15377444"/>
      <w:bookmarkStart w:id="34" w:name="_Toc15377213"/>
      <w:r>
        <w:rPr>
          <w:rFonts w:ascii="仿宋" w:eastAsia="仿宋" w:hAnsi="仿宋" w:hint="eastAsia"/>
          <w:b/>
          <w:sz w:val="32"/>
          <w:szCs w:val="32"/>
        </w:rPr>
        <w:t>2021年一般公共预算支出决算数为732.93万元</w:t>
      </w:r>
      <w:r>
        <w:rPr>
          <w:rFonts w:ascii="仿宋" w:eastAsia="仿宋" w:hAnsi="仿宋" w:hint="eastAsia"/>
          <w:sz w:val="32"/>
          <w:szCs w:val="32"/>
        </w:rPr>
        <w:t>，</w:t>
      </w:r>
      <w:r>
        <w:rPr>
          <w:rStyle w:val="a7"/>
          <w:rFonts w:ascii="仿宋" w:eastAsia="仿宋" w:hAnsi="仿宋" w:hint="eastAsia"/>
          <w:bCs/>
          <w:sz w:val="32"/>
          <w:szCs w:val="32"/>
        </w:rPr>
        <w:t>完成预算97.05</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0415F0" w:rsidRDefault="00506E6A">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1.一般公共服务（类） 组织事务（款）其他组织事务支出（项）</w:t>
      </w:r>
      <w:r>
        <w:rPr>
          <w:rStyle w:val="a7"/>
          <w:rFonts w:ascii="仿宋" w:eastAsia="仿宋" w:hAnsi="仿宋"/>
          <w:bCs/>
          <w:sz w:val="32"/>
          <w:szCs w:val="32"/>
        </w:rPr>
        <w:t>:</w:t>
      </w:r>
      <w:r>
        <w:rPr>
          <w:rStyle w:val="a7"/>
          <w:rFonts w:ascii="仿宋" w:eastAsia="仿宋" w:hAnsi="仿宋" w:hint="eastAsia"/>
          <w:b w:val="0"/>
          <w:bCs/>
          <w:sz w:val="32"/>
          <w:szCs w:val="32"/>
        </w:rPr>
        <w:t>支出决算为1.78万元，完成预算100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5F0" w:rsidRDefault="00506E6A">
      <w:pPr>
        <w:spacing w:line="600" w:lineRule="exact"/>
        <w:ind w:left="10" w:firstLineChars="194" w:firstLine="623"/>
        <w:rPr>
          <w:rStyle w:val="a7"/>
          <w:rFonts w:ascii="仿宋" w:eastAsia="仿宋" w:hAnsi="仿宋"/>
          <w:b w:val="0"/>
          <w:bCs/>
          <w:sz w:val="32"/>
          <w:szCs w:val="32"/>
        </w:rPr>
      </w:pPr>
      <w:r>
        <w:rPr>
          <w:rStyle w:val="a7"/>
          <w:rFonts w:ascii="仿宋" w:eastAsia="仿宋" w:hAnsi="仿宋" w:hint="eastAsia"/>
          <w:bCs/>
          <w:sz w:val="32"/>
          <w:szCs w:val="32"/>
        </w:rPr>
        <w:t>2.社会保障和就业（类）人力资源和社会保障管理事务（款）  其他人力资源和社会保障管理事务支出（项）</w:t>
      </w:r>
      <w:r>
        <w:rPr>
          <w:rStyle w:val="a7"/>
          <w:rFonts w:ascii="仿宋" w:eastAsia="仿宋" w:hAnsi="仿宋"/>
          <w:bCs/>
          <w:sz w:val="32"/>
          <w:szCs w:val="32"/>
        </w:rPr>
        <w:t>:</w:t>
      </w:r>
      <w:r>
        <w:rPr>
          <w:rStyle w:val="a7"/>
          <w:rFonts w:ascii="仿宋" w:eastAsia="仿宋" w:hAnsi="仿宋" w:hint="eastAsia"/>
          <w:b w:val="0"/>
          <w:bCs/>
          <w:sz w:val="32"/>
          <w:szCs w:val="32"/>
        </w:rPr>
        <w:t>支出决算为3.00万元，</w:t>
      </w:r>
      <w:r>
        <w:rPr>
          <w:rStyle w:val="a7"/>
          <w:rFonts w:ascii="仿宋" w:eastAsia="仿宋" w:hAnsi="仿宋" w:hint="eastAsia"/>
          <w:b w:val="0"/>
          <w:bCs/>
          <w:sz w:val="32"/>
          <w:szCs w:val="32"/>
        </w:rPr>
        <w:lastRenderedPageBreak/>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5F0" w:rsidRDefault="00506E6A">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社会保障和就业（类）行政事业单位养老支出（款）行政单位离退休（项）</w:t>
      </w:r>
      <w:r>
        <w:rPr>
          <w:rStyle w:val="a7"/>
          <w:rFonts w:ascii="仿宋" w:eastAsia="仿宋" w:hAnsi="仿宋"/>
          <w:bCs/>
          <w:sz w:val="32"/>
          <w:szCs w:val="32"/>
        </w:rPr>
        <w:t>:</w:t>
      </w:r>
      <w:r>
        <w:rPr>
          <w:rStyle w:val="a7"/>
          <w:rFonts w:ascii="仿宋" w:eastAsia="仿宋" w:hAnsi="仿宋" w:hint="eastAsia"/>
          <w:b w:val="0"/>
          <w:bCs/>
          <w:sz w:val="32"/>
          <w:szCs w:val="32"/>
        </w:rPr>
        <w:t>支出决算为4.94万元，完成预算100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Style w:val="a7"/>
          <w:rFonts w:ascii="仿宋" w:eastAsia="仿宋" w:hAnsi="仿宋" w:hint="eastAsia"/>
          <w:bCs/>
          <w:sz w:val="32"/>
          <w:szCs w:val="32"/>
        </w:rPr>
        <w:t>社会保障和就业（类）行政事业单位养老支出（款）机关事业单位基本养老保险缴费支出（项）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支出决算为42.20万元，完成预算100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5F0" w:rsidRDefault="00506E6A">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社会保障和就业（类）抚恤（款）死亡抚恤（项）</w:t>
      </w:r>
      <w:r>
        <w:rPr>
          <w:rStyle w:val="a7"/>
          <w:rFonts w:ascii="仿宋" w:eastAsia="仿宋" w:hAnsi="仿宋"/>
          <w:bCs/>
          <w:sz w:val="32"/>
          <w:szCs w:val="32"/>
        </w:rPr>
        <w:t>:</w:t>
      </w:r>
      <w:r>
        <w:rPr>
          <w:rStyle w:val="a7"/>
          <w:rFonts w:ascii="仿宋" w:eastAsia="仿宋" w:hAnsi="仿宋" w:hint="eastAsia"/>
          <w:b w:val="0"/>
          <w:bCs/>
          <w:sz w:val="32"/>
          <w:szCs w:val="32"/>
        </w:rPr>
        <w:t>支出决算为5.64万元，完成预算100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5F0" w:rsidRDefault="000415F0">
      <w:pPr>
        <w:spacing w:line="600" w:lineRule="exact"/>
        <w:ind w:firstLineChars="200" w:firstLine="640"/>
        <w:rPr>
          <w:rStyle w:val="a7"/>
          <w:rFonts w:ascii="仿宋" w:eastAsia="仿宋" w:hAnsi="仿宋"/>
          <w:b w:val="0"/>
          <w:bCs/>
          <w:sz w:val="32"/>
          <w:szCs w:val="32"/>
        </w:rPr>
      </w:pPr>
    </w:p>
    <w:p w:rsidR="000415F0" w:rsidRDefault="00506E6A" w:rsidP="00BD5564">
      <w:pPr>
        <w:pStyle w:val="a0"/>
        <w:spacing w:before="93"/>
        <w:ind w:firstLineChars="261" w:firstLine="838"/>
        <w:rPr>
          <w:rStyle w:val="a7"/>
          <w:rFonts w:ascii="仿宋" w:eastAsia="仿宋" w:hAnsi="仿宋"/>
          <w:b w:val="0"/>
          <w:bCs/>
          <w:sz w:val="32"/>
          <w:szCs w:val="32"/>
        </w:rPr>
      </w:pPr>
      <w:r>
        <w:rPr>
          <w:rStyle w:val="a7"/>
          <w:rFonts w:ascii="仿宋" w:eastAsia="仿宋" w:hAnsi="仿宋" w:hint="eastAsia"/>
          <w:bCs/>
          <w:sz w:val="32"/>
          <w:szCs w:val="32"/>
        </w:rPr>
        <w:t>3.农林水支出（类）林业和草原（款）  行政运行、事业机构、森林资源培育、  森林生态效益补偿、  林业草原防灾减灾、  其他林业和草原支出（项）</w:t>
      </w:r>
      <w:r>
        <w:rPr>
          <w:rStyle w:val="a7"/>
          <w:rFonts w:ascii="仿宋" w:eastAsia="仿宋" w:hAnsi="仿宋"/>
          <w:bCs/>
          <w:sz w:val="32"/>
          <w:szCs w:val="32"/>
        </w:rPr>
        <w:t>:</w:t>
      </w:r>
      <w:r>
        <w:rPr>
          <w:rStyle w:val="a7"/>
          <w:rFonts w:ascii="仿宋" w:eastAsia="仿宋" w:hAnsi="仿宋" w:hint="eastAsia"/>
          <w:b w:val="0"/>
          <w:bCs/>
          <w:sz w:val="32"/>
          <w:szCs w:val="32"/>
        </w:rPr>
        <w:t>支出决算为632.66万元，完成预算92.90</w:t>
      </w:r>
      <w:r>
        <w:rPr>
          <w:rStyle w:val="a7"/>
          <w:rFonts w:ascii="仿宋" w:eastAsia="仿宋" w:hAnsi="仿宋"/>
          <w:b w:val="0"/>
          <w:bCs/>
          <w:sz w:val="32"/>
          <w:szCs w:val="32"/>
        </w:rPr>
        <w:t>%</w:t>
      </w:r>
      <w:r>
        <w:rPr>
          <w:rStyle w:val="a7"/>
          <w:rFonts w:ascii="仿宋" w:eastAsia="仿宋" w:hAnsi="仿宋" w:hint="eastAsia"/>
          <w:b w:val="0"/>
          <w:bCs/>
          <w:sz w:val="32"/>
          <w:szCs w:val="32"/>
        </w:rPr>
        <w:t>，  决算数小于预算数，主要原因是单位账户有年初结转和结余。</w:t>
      </w:r>
    </w:p>
    <w:p w:rsidR="000415F0" w:rsidRDefault="00506E6A">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4.住房保障支出（类）住房改革支出（款）住房公积金（项）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支出决算为42.71万元，完成预算100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5F0" w:rsidRDefault="000415F0" w:rsidP="00BD5564">
      <w:pPr>
        <w:pStyle w:val="a0"/>
        <w:spacing w:before="93"/>
      </w:pPr>
    </w:p>
    <w:p w:rsidR="000415F0" w:rsidRDefault="000415F0">
      <w:pPr>
        <w:spacing w:line="600" w:lineRule="exact"/>
        <w:ind w:firstLineChars="200" w:firstLine="643"/>
        <w:rPr>
          <w:rFonts w:ascii="仿宋" w:eastAsia="仿宋" w:hAnsi="仿宋"/>
          <w:b/>
          <w:sz w:val="32"/>
          <w:szCs w:val="32"/>
        </w:rPr>
      </w:pPr>
    </w:p>
    <w:p w:rsidR="000415F0" w:rsidRDefault="000415F0">
      <w:pPr>
        <w:spacing w:line="600" w:lineRule="exact"/>
        <w:ind w:firstLine="640"/>
        <w:rPr>
          <w:rFonts w:ascii="仿宋" w:eastAsia="仿宋" w:hAnsi="仿宋"/>
          <w:b/>
          <w:sz w:val="32"/>
          <w:szCs w:val="32"/>
        </w:rPr>
      </w:pPr>
    </w:p>
    <w:p w:rsidR="000415F0" w:rsidRDefault="00506E6A">
      <w:pPr>
        <w:tabs>
          <w:tab w:val="right" w:pos="8306"/>
        </w:tabs>
        <w:spacing w:line="600" w:lineRule="exact"/>
        <w:ind w:firstLineChars="200"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0415F0" w:rsidRDefault="00506E6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Pr>
          <w:rFonts w:ascii="仿宋" w:eastAsia="仿宋" w:hAnsi="仿宋" w:hint="eastAsia"/>
          <w:b/>
          <w:sz w:val="32"/>
          <w:szCs w:val="32"/>
        </w:rPr>
        <w:t>732.93</w:t>
      </w:r>
      <w:r>
        <w:rPr>
          <w:rFonts w:ascii="仿宋" w:eastAsia="仿宋" w:hAnsi="仿宋" w:hint="eastAsia"/>
          <w:sz w:val="32"/>
          <w:szCs w:val="32"/>
        </w:rPr>
        <w:t>万元，其中：</w:t>
      </w:r>
    </w:p>
    <w:p w:rsidR="000415F0" w:rsidRDefault="00506E6A">
      <w:pPr>
        <w:spacing w:line="600" w:lineRule="exact"/>
        <w:ind w:firstLineChars="200" w:firstLine="640"/>
        <w:rPr>
          <w:rFonts w:ascii="仿宋" w:eastAsia="仿宋" w:hAnsi="仿宋"/>
          <w:sz w:val="32"/>
          <w:szCs w:val="32"/>
        </w:rPr>
      </w:pPr>
      <w:r>
        <w:rPr>
          <w:rFonts w:ascii="仿宋" w:eastAsia="仿宋" w:hAnsi="仿宋" w:hint="eastAsia"/>
          <w:sz w:val="32"/>
          <w:szCs w:val="32"/>
        </w:rPr>
        <w:t>人员经费536.49万元，主要包括：基本工资、津贴补贴、绩效工资、机关事业单位基本养老保险缴费、职工基本医疗保险缴费、</w:t>
      </w:r>
      <w:r>
        <w:rPr>
          <w:rFonts w:ascii="仿宋" w:eastAsia="仿宋" w:hAnsi="仿宋" w:hint="eastAsia"/>
          <w:sz w:val="32"/>
          <w:szCs w:val="32"/>
        </w:rPr>
        <w:lastRenderedPageBreak/>
        <w:t>公务员医疗补助缴费、其他社会保障缴费、其他工资福利支出、离休费、抚恤金、生活补助、住房公积金等。</w:t>
      </w:r>
    </w:p>
    <w:p w:rsidR="000415F0" w:rsidRDefault="00506E6A">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公用经费50.9万元，主要包括：办公费、咨询费、水费、电费、邮电费、差旅费、培训费、公务接待费、工会经费、福利费、公务用车运行维护费、其他交通费、其他商品和服务支出等。</w:t>
      </w:r>
    </w:p>
    <w:p w:rsidR="000415F0" w:rsidRDefault="000415F0">
      <w:pPr>
        <w:spacing w:line="600" w:lineRule="exact"/>
        <w:ind w:firstLine="640"/>
        <w:rPr>
          <w:rFonts w:ascii="仿宋" w:eastAsia="仿宋" w:hAnsi="仿宋"/>
          <w:b/>
          <w:sz w:val="32"/>
          <w:szCs w:val="32"/>
        </w:rPr>
      </w:pPr>
    </w:p>
    <w:p w:rsidR="000415F0" w:rsidRDefault="00506E6A">
      <w:pPr>
        <w:spacing w:line="600" w:lineRule="exact"/>
        <w:ind w:firstLineChars="200" w:firstLine="640"/>
        <w:outlineLvl w:val="1"/>
        <w:rPr>
          <w:rStyle w:val="2Char"/>
          <w:rFonts w:ascii="黑体" w:eastAsia="黑体" w:hAnsi="黑体"/>
          <w:b w:val="0"/>
        </w:rPr>
      </w:pPr>
      <w:bookmarkStart w:id="37" w:name="_Toc15377215"/>
      <w:bookmarkStart w:id="38"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0415F0" w:rsidRDefault="00506E6A">
      <w:pPr>
        <w:spacing w:line="600" w:lineRule="exact"/>
        <w:ind w:firstLineChars="200" w:firstLine="643"/>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0415F0" w:rsidRDefault="00506E6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21年“三公”经费财政拨款支出决算为55.09万元，完成预算97.69</w:t>
      </w:r>
      <w:r>
        <w:rPr>
          <w:rFonts w:ascii="仿宋" w:eastAsia="仿宋" w:hAnsi="仿宋"/>
          <w:sz w:val="32"/>
          <w:szCs w:val="32"/>
        </w:rPr>
        <w:t>%</w:t>
      </w:r>
      <w:r>
        <w:rPr>
          <w:rFonts w:ascii="仿宋" w:eastAsia="仿宋" w:hAnsi="仿宋" w:hint="eastAsia"/>
          <w:sz w:val="32"/>
          <w:szCs w:val="32"/>
        </w:rPr>
        <w:t>，决算数小于预算数。</w:t>
      </w:r>
    </w:p>
    <w:p w:rsidR="000415F0" w:rsidRDefault="00506E6A">
      <w:pPr>
        <w:spacing w:line="600" w:lineRule="exact"/>
        <w:ind w:firstLineChars="200" w:firstLine="643"/>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0415F0" w:rsidRDefault="00506E6A">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2336" behindDoc="0" locked="0" layoutInCell="1" allowOverlap="1">
            <wp:simplePos x="0" y="0"/>
            <wp:positionH relativeFrom="column">
              <wp:posOffset>185420</wp:posOffset>
            </wp:positionH>
            <wp:positionV relativeFrom="paragraph">
              <wp:posOffset>2161540</wp:posOffset>
            </wp:positionV>
            <wp:extent cx="4870450" cy="3267710"/>
            <wp:effectExtent l="4445" t="5080" r="20955" b="22860"/>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；公务用车购置及运行维护费支出决算54.99万元，占99.82</w:t>
      </w:r>
      <w:r>
        <w:rPr>
          <w:rFonts w:ascii="仿宋" w:eastAsia="仿宋" w:hAnsi="仿宋"/>
          <w:sz w:val="32"/>
          <w:szCs w:val="32"/>
        </w:rPr>
        <w:t>%</w:t>
      </w:r>
      <w:r>
        <w:rPr>
          <w:rFonts w:ascii="仿宋" w:eastAsia="仿宋" w:hAnsi="仿宋" w:hint="eastAsia"/>
          <w:sz w:val="32"/>
          <w:szCs w:val="32"/>
        </w:rPr>
        <w:t>；公务接待费支出决算0.1万元，占0.18</w:t>
      </w:r>
      <w:r>
        <w:rPr>
          <w:rFonts w:ascii="仿宋" w:eastAsia="仿宋" w:hAnsi="仿宋"/>
          <w:sz w:val="32"/>
          <w:szCs w:val="32"/>
        </w:rPr>
        <w:t>%</w:t>
      </w:r>
      <w:r>
        <w:rPr>
          <w:rFonts w:ascii="仿宋" w:eastAsia="仿宋" w:hAnsi="仿宋" w:hint="eastAsia"/>
          <w:sz w:val="32"/>
          <w:szCs w:val="32"/>
        </w:rPr>
        <w:t>。具体情况如下：</w:t>
      </w:r>
    </w:p>
    <w:p w:rsidR="000415F0" w:rsidRDefault="000415F0" w:rsidP="00BD5564">
      <w:pPr>
        <w:pStyle w:val="a0"/>
        <w:spacing w:before="93"/>
        <w:rPr>
          <w:rFonts w:ascii="仿宋" w:eastAsia="仿宋" w:hAnsi="仿宋"/>
          <w:sz w:val="32"/>
          <w:szCs w:val="32"/>
        </w:rPr>
      </w:pPr>
    </w:p>
    <w:p w:rsidR="000415F0" w:rsidRDefault="000415F0" w:rsidP="00BD5564">
      <w:pPr>
        <w:pStyle w:val="a0"/>
        <w:spacing w:before="93"/>
        <w:rPr>
          <w:rFonts w:ascii="仿宋" w:eastAsia="仿宋" w:hAnsi="仿宋"/>
          <w:sz w:val="32"/>
          <w:szCs w:val="32"/>
        </w:rPr>
      </w:pPr>
    </w:p>
    <w:p w:rsidR="000415F0" w:rsidRDefault="000415F0" w:rsidP="00BD5564">
      <w:pPr>
        <w:pStyle w:val="a0"/>
        <w:spacing w:before="93"/>
        <w:rPr>
          <w:rFonts w:ascii="仿宋" w:eastAsia="仿宋" w:hAnsi="仿宋"/>
          <w:sz w:val="32"/>
          <w:szCs w:val="32"/>
        </w:rPr>
      </w:pPr>
    </w:p>
    <w:p w:rsidR="000415F0" w:rsidRDefault="000415F0" w:rsidP="00BD5564">
      <w:pPr>
        <w:pStyle w:val="a0"/>
        <w:spacing w:before="93"/>
        <w:rPr>
          <w:rFonts w:ascii="仿宋" w:eastAsia="仿宋" w:hAnsi="仿宋"/>
          <w:sz w:val="32"/>
          <w:szCs w:val="32"/>
        </w:rPr>
      </w:pPr>
    </w:p>
    <w:p w:rsidR="000415F0" w:rsidRDefault="00506E6A">
      <w:pPr>
        <w:numPr>
          <w:ilvl w:val="0"/>
          <w:numId w:val="4"/>
        </w:numPr>
        <w:spacing w:line="600" w:lineRule="exact"/>
        <w:ind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因公出国（境）经费支出</w:t>
      </w:r>
      <w:r>
        <w:rPr>
          <w:rFonts w:ascii="仿宋_GB2312" w:eastAsia="仿宋_GB2312" w:hint="eastAsia"/>
          <w:color w:val="000000" w:themeColor="text1"/>
          <w:sz w:val="32"/>
          <w:szCs w:val="32"/>
        </w:rPr>
        <w:t>0万元，</w:t>
      </w:r>
      <w:r>
        <w:rPr>
          <w:rStyle w:val="a7"/>
          <w:rFonts w:ascii="仿宋" w:eastAsia="仿宋" w:hAnsi="仿宋" w:hint="eastAsia"/>
          <w:b w:val="0"/>
          <w:bCs/>
          <w:color w:val="000000" w:themeColor="text1"/>
          <w:sz w:val="32"/>
          <w:szCs w:val="32"/>
        </w:rPr>
        <w:t>完成预算0</w:t>
      </w:r>
      <w:r>
        <w:rPr>
          <w:rStyle w:val="a7"/>
          <w:rFonts w:ascii="仿宋" w:eastAsia="仿宋" w:hAnsi="仿宋"/>
          <w:b w:val="0"/>
          <w:bCs/>
          <w:color w:val="000000" w:themeColor="text1"/>
          <w:sz w:val="32"/>
          <w:szCs w:val="32"/>
        </w:rPr>
        <w:t>%</w:t>
      </w:r>
      <w:r>
        <w:rPr>
          <w:rStyle w:val="a7"/>
          <w:rFonts w:ascii="仿宋" w:eastAsia="仿宋" w:hAnsi="仿宋" w:hint="eastAsia"/>
          <w:b w:val="0"/>
          <w:bCs/>
          <w:color w:val="000000" w:themeColor="text1"/>
          <w:sz w:val="32"/>
          <w:szCs w:val="32"/>
        </w:rPr>
        <w:t>。</w:t>
      </w:r>
      <w:r>
        <w:rPr>
          <w:rFonts w:ascii="仿宋_GB2312" w:eastAsia="仿宋_GB2312" w:hint="eastAsia"/>
          <w:color w:val="000000" w:themeColor="text1"/>
          <w:sz w:val="32"/>
          <w:szCs w:val="32"/>
        </w:rPr>
        <w:t>全年安排因公出国（境）团组0次，出国（境）0人。因公出国（境）支出决算比</w:t>
      </w:r>
      <w:r>
        <w:rPr>
          <w:rFonts w:ascii="仿宋_GB2312" w:eastAsia="仿宋_GB2312"/>
          <w:color w:val="000000" w:themeColor="text1"/>
          <w:sz w:val="32"/>
          <w:szCs w:val="32"/>
        </w:rPr>
        <w:t>20</w:t>
      </w:r>
      <w:r>
        <w:rPr>
          <w:rFonts w:ascii="仿宋_GB2312" w:eastAsia="仿宋_GB2312" w:hint="eastAsia"/>
          <w:color w:val="000000" w:themeColor="text1"/>
          <w:sz w:val="32"/>
          <w:szCs w:val="32"/>
        </w:rPr>
        <w:t>20年增加0万元，增长0</w:t>
      </w:r>
      <w:r>
        <w:rPr>
          <w:rFonts w:ascii="仿宋_GB2312" w:eastAsia="仿宋_GB2312"/>
          <w:color w:val="000000" w:themeColor="text1"/>
          <w:sz w:val="32"/>
          <w:szCs w:val="32"/>
        </w:rPr>
        <w:t>%</w:t>
      </w:r>
      <w:r>
        <w:rPr>
          <w:rFonts w:ascii="仿宋_GB2312" w:eastAsia="仿宋_GB2312" w:hint="eastAsia"/>
          <w:color w:val="000000" w:themeColor="text1"/>
          <w:sz w:val="32"/>
          <w:szCs w:val="32"/>
        </w:rPr>
        <w:t>。</w:t>
      </w:r>
    </w:p>
    <w:p w:rsidR="000415F0" w:rsidRDefault="00506E6A">
      <w:pPr>
        <w:spacing w:line="600" w:lineRule="exact"/>
        <w:ind w:left="840"/>
        <w:rPr>
          <w:rFonts w:ascii="仿宋_GB2312" w:eastAsia="仿宋_GB2312"/>
          <w:b/>
          <w:sz w:val="32"/>
          <w:szCs w:val="32"/>
        </w:rPr>
      </w:pPr>
      <w:r>
        <w:rPr>
          <w:rFonts w:ascii="仿宋_GB2312" w:eastAsia="仿宋_GB2312" w:hint="eastAsia"/>
          <w:b/>
          <w:color w:val="000000" w:themeColor="text1"/>
          <w:sz w:val="32"/>
          <w:szCs w:val="32"/>
        </w:rPr>
        <w:t>2.公务用车购置及运行维护费支出</w:t>
      </w:r>
      <w:r>
        <w:rPr>
          <w:rFonts w:ascii="仿宋" w:eastAsia="仿宋" w:hAnsi="仿宋" w:hint="eastAsia"/>
          <w:color w:val="000000" w:themeColor="text1"/>
          <w:sz w:val="32"/>
          <w:szCs w:val="32"/>
        </w:rPr>
        <w:t>54.99</w:t>
      </w:r>
      <w:r>
        <w:rPr>
          <w:rFonts w:ascii="仿宋_GB2312" w:eastAsia="仿宋_GB2312" w:hint="eastAsia"/>
          <w:color w:val="000000" w:themeColor="text1"/>
          <w:sz w:val="32"/>
          <w:szCs w:val="32"/>
        </w:rPr>
        <w:t>万元,</w:t>
      </w:r>
      <w:r>
        <w:rPr>
          <w:rStyle w:val="a7"/>
          <w:rFonts w:ascii="仿宋" w:eastAsia="仿宋" w:hAnsi="仿宋" w:hint="eastAsia"/>
          <w:b w:val="0"/>
          <w:bCs/>
          <w:color w:val="000000" w:themeColor="text1"/>
          <w:sz w:val="32"/>
          <w:szCs w:val="32"/>
        </w:rPr>
        <w:t>完成预算</w:t>
      </w:r>
      <w:r>
        <w:rPr>
          <w:rFonts w:ascii="仿宋" w:eastAsia="仿宋" w:hAnsi="仿宋" w:hint="eastAsia"/>
          <w:sz w:val="32"/>
          <w:szCs w:val="32"/>
        </w:rPr>
        <w:t>99.60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20年增加47.89万元，增长674.51</w:t>
      </w:r>
      <w:r>
        <w:rPr>
          <w:rFonts w:ascii="仿宋_GB2312" w:eastAsia="仿宋_GB2312"/>
          <w:sz w:val="32"/>
          <w:szCs w:val="32"/>
        </w:rPr>
        <w:t>%</w:t>
      </w:r>
      <w:r>
        <w:rPr>
          <w:rFonts w:ascii="仿宋_GB2312" w:eastAsia="仿宋_GB2312" w:hint="eastAsia"/>
          <w:sz w:val="32"/>
          <w:szCs w:val="32"/>
        </w:rPr>
        <w:t>。主要原因是2021年购置公务车一辆</w:t>
      </w:r>
      <w:r>
        <w:rPr>
          <w:rFonts w:ascii="仿宋_GB2312" w:eastAsia="仿宋_GB2312" w:hAnsi="仿宋" w:hint="eastAsia"/>
          <w:sz w:val="32"/>
          <w:szCs w:val="32"/>
        </w:rPr>
        <w:t>。</w:t>
      </w:r>
    </w:p>
    <w:p w:rsidR="000415F0" w:rsidRDefault="00506E6A">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43.87万元。全年按规定更新购置公务用车1辆，其中：轿车0辆、金额0万元，越野车1辆、金额43.87万元，载客汽车0辆、金额0万元。截至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月底，单位共有公务用车4辆，其中：轿车2辆、越野车2辆、载客汽车0辆。</w:t>
      </w:r>
    </w:p>
    <w:p w:rsidR="000415F0" w:rsidRDefault="00506E6A">
      <w:pPr>
        <w:spacing w:line="600" w:lineRule="exact"/>
        <w:ind w:firstLineChars="200" w:firstLine="643"/>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11.12万元。主要用于业务检查等所需的公务用车燃料费、维修费、过路过桥费、保险费等支出。</w:t>
      </w:r>
    </w:p>
    <w:p w:rsidR="000415F0" w:rsidRDefault="00506E6A">
      <w:pPr>
        <w:spacing w:line="60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0.1万元，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20年减少0.24万元，下降70.59</w:t>
      </w:r>
      <w:r>
        <w:rPr>
          <w:rFonts w:ascii="仿宋_GB2312" w:eastAsia="仿宋_GB2312"/>
          <w:sz w:val="32"/>
          <w:szCs w:val="32"/>
        </w:rPr>
        <w:t>%</w:t>
      </w:r>
      <w:r>
        <w:rPr>
          <w:rFonts w:ascii="仿宋_GB2312" w:eastAsia="仿宋_GB2312" w:hint="eastAsia"/>
          <w:sz w:val="32"/>
          <w:szCs w:val="32"/>
        </w:rPr>
        <w:t>。主要原因是公务接待减少。其中：</w:t>
      </w:r>
    </w:p>
    <w:p w:rsidR="000415F0" w:rsidRDefault="00506E6A">
      <w:pPr>
        <w:spacing w:line="600" w:lineRule="exact"/>
        <w:ind w:firstLineChars="200" w:firstLine="643"/>
        <w:rPr>
          <w:rFonts w:ascii="仿宋_GB2312" w:eastAsia="仿宋_GB2312"/>
          <w:color w:val="FF0000"/>
          <w:sz w:val="32"/>
          <w:szCs w:val="32"/>
        </w:rPr>
      </w:pPr>
      <w:r>
        <w:rPr>
          <w:rFonts w:ascii="仿宋" w:eastAsia="仿宋" w:hAnsi="仿宋" w:hint="eastAsia"/>
          <w:b/>
          <w:sz w:val="32"/>
          <w:szCs w:val="32"/>
        </w:rPr>
        <w:t>国内公务接待支出</w:t>
      </w:r>
      <w:r>
        <w:rPr>
          <w:rFonts w:ascii="仿宋_GB2312" w:eastAsia="仿宋_GB2312" w:hint="eastAsia"/>
          <w:sz w:val="32"/>
          <w:szCs w:val="32"/>
        </w:rPr>
        <w:t>0.1万元，主要用于执行公务、开展业务活动开支的用餐费。国内公务接待2批次，共计支出0.1万元，具体内容包括：省检查组检查工作2批次。</w:t>
      </w:r>
    </w:p>
    <w:p w:rsidR="000415F0" w:rsidRDefault="00506E6A">
      <w:pPr>
        <w:spacing w:line="600" w:lineRule="exact"/>
        <w:ind w:firstLineChars="200" w:firstLine="643"/>
        <w:rPr>
          <w:rFonts w:ascii="仿宋_GB2312" w:eastAsia="仿宋_GB2312"/>
          <w:sz w:val="32"/>
          <w:szCs w:val="32"/>
        </w:rPr>
      </w:pPr>
      <w:r>
        <w:rPr>
          <w:rFonts w:ascii="仿宋" w:eastAsia="仿宋" w:hAnsi="仿宋" w:hint="eastAsia"/>
          <w:b/>
          <w:sz w:val="32"/>
          <w:szCs w:val="32"/>
        </w:rPr>
        <w:lastRenderedPageBreak/>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rsidR="000415F0" w:rsidRDefault="000415F0">
      <w:pPr>
        <w:spacing w:line="600" w:lineRule="exact"/>
        <w:ind w:firstLine="640"/>
        <w:outlineLvl w:val="1"/>
        <w:rPr>
          <w:rFonts w:ascii="黑体" w:eastAsia="黑体"/>
          <w:sz w:val="32"/>
          <w:szCs w:val="32"/>
        </w:rPr>
      </w:pPr>
      <w:bookmarkStart w:id="41" w:name="_Toc15377218"/>
      <w:bookmarkStart w:id="42" w:name="_Toc15396610"/>
    </w:p>
    <w:p w:rsidR="000415F0" w:rsidRDefault="00506E6A">
      <w:pPr>
        <w:spacing w:line="600" w:lineRule="exact"/>
        <w:ind w:firstLineChars="200"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0415F0" w:rsidRDefault="00506E6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0415F0" w:rsidRDefault="000415F0">
      <w:pPr>
        <w:spacing w:line="600" w:lineRule="exact"/>
        <w:ind w:firstLine="640"/>
        <w:rPr>
          <w:rFonts w:ascii="仿宋_GB2312" w:eastAsia="仿宋_GB2312"/>
          <w:sz w:val="32"/>
          <w:szCs w:val="32"/>
        </w:rPr>
      </w:pPr>
    </w:p>
    <w:p w:rsidR="000415F0" w:rsidRDefault="00506E6A">
      <w:pPr>
        <w:numPr>
          <w:ilvl w:val="0"/>
          <w:numId w:val="5"/>
        </w:numPr>
        <w:spacing w:line="600" w:lineRule="exact"/>
        <w:ind w:firstLineChars="200" w:firstLine="640"/>
        <w:outlineLvl w:val="1"/>
        <w:rPr>
          <w:rStyle w:val="2Char"/>
          <w:rFonts w:ascii="黑体" w:eastAsia="黑体" w:hAnsi="黑体"/>
          <w:b w:val="0"/>
        </w:rPr>
      </w:pPr>
      <w:bookmarkStart w:id="43" w:name="_Toc15396611"/>
      <w:bookmarkStart w:id="44" w:name="_Toc15377219"/>
      <w:r>
        <w:rPr>
          <w:rStyle w:val="2Char"/>
          <w:rFonts w:ascii="黑体" w:eastAsia="黑体" w:hAnsi="黑体" w:hint="eastAsia"/>
          <w:b w:val="0"/>
        </w:rPr>
        <w:t>国有资本经营预算支出决算情况说明</w:t>
      </w:r>
      <w:bookmarkEnd w:id="43"/>
      <w:bookmarkEnd w:id="44"/>
    </w:p>
    <w:p w:rsidR="000415F0" w:rsidRDefault="00506E6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0415F0" w:rsidRDefault="000415F0">
      <w:pPr>
        <w:spacing w:line="580" w:lineRule="exact"/>
        <w:jc w:val="center"/>
        <w:rPr>
          <w:rFonts w:ascii="方正小标宋简体" w:eastAsia="方正小标宋简体" w:hAnsi="方正小标宋简体" w:cs="方正小标宋简体"/>
          <w:sz w:val="44"/>
          <w:szCs w:val="44"/>
        </w:rPr>
      </w:pPr>
    </w:p>
    <w:p w:rsidR="000415F0" w:rsidRDefault="00506E6A">
      <w:pPr>
        <w:numPr>
          <w:ilvl w:val="0"/>
          <w:numId w:val="5"/>
        </w:numPr>
        <w:spacing w:line="600" w:lineRule="exact"/>
        <w:ind w:firstLineChars="200"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0415F0" w:rsidRDefault="00506E6A">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0415F0" w:rsidRDefault="00506E6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21年，攀枝花市林业局机关运行经费支出0万元，比</w:t>
      </w:r>
      <w:r>
        <w:rPr>
          <w:rFonts w:ascii="仿宋_GB2312" w:eastAsia="仿宋_GB2312"/>
          <w:sz w:val="32"/>
          <w:szCs w:val="32"/>
        </w:rPr>
        <w:t>20</w:t>
      </w:r>
      <w:r>
        <w:rPr>
          <w:rFonts w:ascii="仿宋_GB2312" w:eastAsia="仿宋_GB2312" w:hint="eastAsia"/>
          <w:sz w:val="32"/>
          <w:szCs w:val="32"/>
        </w:rPr>
        <w:t>20年减少0万元，下降0</w:t>
      </w:r>
      <w:r>
        <w:rPr>
          <w:rFonts w:ascii="仿宋_GB2312" w:eastAsia="仿宋_GB2312"/>
          <w:sz w:val="32"/>
          <w:szCs w:val="32"/>
        </w:rPr>
        <w:t>%</w:t>
      </w:r>
      <w:r>
        <w:rPr>
          <w:rFonts w:ascii="仿宋_GB2312" w:eastAsia="仿宋_GB2312" w:hint="eastAsia"/>
          <w:sz w:val="32"/>
          <w:szCs w:val="32"/>
        </w:rPr>
        <w:t>。</w:t>
      </w:r>
    </w:p>
    <w:p w:rsidR="000415F0" w:rsidRDefault="00506E6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0415F0" w:rsidRDefault="00506E6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攀枝花市林业局政府采购支出总额0万元，其中：政府采购货物支出0万元、政府采购工程支出0万元、政府采购服务支出0万元。主要用于防火智能卡口固定资产0万元（具体工作）。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rsidR="000415F0" w:rsidRDefault="00506E6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0415F0" w:rsidRDefault="00506E6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日，攀枝花市林业技术服务中心共有车辆4辆，其中：主要领导干部用车0辆、机要通信用车0辆、应急保障用车0辆、执法执勤用车0辆、特种专业技术用车2辆、其他用车2辆，</w:t>
      </w:r>
      <w:r>
        <w:rPr>
          <w:rFonts w:ascii="仿宋_GB2312" w:eastAsia="仿宋_GB2312" w:hint="eastAsia"/>
          <w:sz w:val="32"/>
          <w:szCs w:val="32"/>
        </w:rPr>
        <w:lastRenderedPageBreak/>
        <w:t>其他用车主要是用于日常工作用车，单价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0415F0" w:rsidRDefault="00506E6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0415F0" w:rsidRDefault="00506E6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0个项目开展了预算事前绩效评估，对4个项目编制了绩效目标，预算执行过程中，选取1个项目开展绩效监控，年终执行完毕后，对1个项目开展了绩效自评，2021年特定目标类部门预算项目绩效目标自评表见附件（第四部分）。</w:t>
      </w:r>
    </w:p>
    <w:p w:rsidR="000415F0" w:rsidRDefault="000415F0" w:rsidP="00BD5564">
      <w:pPr>
        <w:pStyle w:val="a0"/>
        <w:spacing w:before="93"/>
        <w:rPr>
          <w:highlight w:val="yellow"/>
        </w:rPr>
      </w:pPr>
    </w:p>
    <w:p w:rsidR="000415F0" w:rsidRPr="00D206EC" w:rsidRDefault="00506E6A" w:rsidP="00D206EC">
      <w:pPr>
        <w:widowControl/>
        <w:ind w:firstLineChars="200" w:firstLine="643"/>
        <w:jc w:val="center"/>
        <w:rPr>
          <w:rStyle w:val="1Char"/>
          <w:rFonts w:ascii="仿宋_GB2312" w:eastAsia="仿宋_GB2312"/>
          <w:bCs w:val="0"/>
          <w:kern w:val="2"/>
          <w:sz w:val="32"/>
          <w:szCs w:val="32"/>
        </w:rPr>
      </w:pPr>
      <w:r>
        <w:rPr>
          <w:rFonts w:ascii="仿宋_GB2312" w:eastAsia="仿宋_GB2312"/>
          <w:b/>
          <w:sz w:val="32"/>
          <w:szCs w:val="32"/>
        </w:rPr>
        <w:br w:type="page"/>
      </w:r>
      <w:bookmarkStart w:id="50" w:name="_Toc15396613"/>
      <w:bookmarkStart w:id="51" w:name="_Toc15377225"/>
      <w:r w:rsidR="00D206EC" w:rsidRPr="00D206EC">
        <w:rPr>
          <w:rStyle w:val="1Char"/>
          <w:rFonts w:ascii="黑体" w:eastAsia="黑体" w:hAnsi="黑体" w:hint="eastAsia"/>
          <w:b w:val="0"/>
        </w:rPr>
        <w:lastRenderedPageBreak/>
        <w:t>第三部分</w:t>
      </w:r>
      <w:r w:rsidR="00D206EC">
        <w:rPr>
          <w:rFonts w:ascii="黑体" w:eastAsia="黑体" w:hAnsi="黑体" w:hint="eastAsia"/>
          <w:sz w:val="44"/>
          <w:szCs w:val="44"/>
        </w:rPr>
        <w:t>名</w:t>
      </w:r>
      <w:r w:rsidR="00D206EC">
        <w:rPr>
          <w:rStyle w:val="1Char"/>
          <w:rFonts w:ascii="黑体" w:eastAsia="黑体" w:hAnsi="黑体" w:hint="eastAsia"/>
          <w:b w:val="0"/>
        </w:rPr>
        <w:t>词解释</w:t>
      </w:r>
      <w:bookmarkEnd w:id="50"/>
      <w:bookmarkEnd w:id="51"/>
    </w:p>
    <w:p w:rsidR="000415F0" w:rsidRDefault="000415F0">
      <w:pPr>
        <w:spacing w:line="600" w:lineRule="exact"/>
        <w:jc w:val="left"/>
        <w:rPr>
          <w:rFonts w:ascii="宋体"/>
          <w:b/>
          <w:sz w:val="44"/>
          <w:szCs w:val="44"/>
        </w:rPr>
      </w:pP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1.财政拨款收入：指单位从同级财政部门取得的财政预算资金。</w:t>
      </w: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2.事业收入：指事业单位开展专业业务活动及辅助活动取得的收入。如二级预算单位事业收入情况等。</w:t>
      </w: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3.经营收入：指事业单位在专业业务活动及其辅助活动之外开展非独立核算经营活动取得的收入。如二级预算单位经营收入情况等。</w:t>
      </w: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 xml:space="preserve">4.其他收入：指单位取得的除上述收入以外的各项收入。主要是除财政拨款收入、事业收入、经营收入以外的其他收入等。 </w:t>
      </w: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 xml:space="preserve">5.使用非财政拨款结余：指事业单位使用以前年度积累的非财政拨款结余弥补当年收支差额的金额。 </w:t>
      </w: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 xml:space="preserve">6.年初结转和结余：指以前年度尚未完成、结转到本年按有关规定继续使用的资金。 </w:t>
      </w: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7.结余分配：指事业单位按照会计制度规定缴纳的所得税、提取的专用结余以及转入非财政拨款结余的金额等。</w:t>
      </w:r>
    </w:p>
    <w:p w:rsidR="00FD067F" w:rsidRDefault="00FD067F" w:rsidP="00FD067F">
      <w:pPr>
        <w:pStyle w:val="Default"/>
        <w:spacing w:line="560" w:lineRule="exact"/>
        <w:ind w:firstLineChars="200" w:firstLine="640"/>
        <w:rPr>
          <w:rFonts w:hAnsi="仿宋"/>
          <w:color w:val="auto"/>
          <w:sz w:val="32"/>
          <w:szCs w:val="32"/>
        </w:rPr>
      </w:pPr>
      <w:r>
        <w:rPr>
          <w:rFonts w:hAnsi="仿宋" w:hint="eastAsia"/>
          <w:color w:val="auto"/>
          <w:sz w:val="32"/>
          <w:szCs w:val="32"/>
        </w:rPr>
        <w:t>8、年末结转和结余：指单位按有关规定结转到下年或以后年度继续使用的资金。</w:t>
      </w:r>
    </w:p>
    <w:p w:rsidR="00FD067F" w:rsidRDefault="00FD067F" w:rsidP="00FD067F">
      <w:pPr>
        <w:ind w:firstLineChars="200" w:firstLine="640"/>
        <w:rPr>
          <w:rFonts w:ascii="仿宋" w:eastAsia="仿宋" w:hAnsi="仿宋" w:cs="仿宋"/>
          <w:sz w:val="32"/>
          <w:szCs w:val="32"/>
        </w:rPr>
      </w:pPr>
      <w:r>
        <w:rPr>
          <w:rFonts w:ascii="仿宋" w:eastAsia="仿宋" w:hAnsi="仿宋" w:cs="仿宋" w:hint="eastAsia"/>
          <w:sz w:val="32"/>
          <w:szCs w:val="32"/>
        </w:rPr>
        <w:t>9.社会保障和就业（类）行政事业单位养老支出（款）事业单位离退休（项）：指事业单位退休人员退休费补助（工资）支出。</w:t>
      </w:r>
    </w:p>
    <w:p w:rsidR="00FD067F" w:rsidRDefault="00FD067F" w:rsidP="00FD067F">
      <w:pPr>
        <w:pStyle w:val="a0"/>
        <w:spacing w:before="93"/>
        <w:ind w:firstLineChars="200" w:firstLine="640"/>
        <w:rPr>
          <w:rFonts w:ascii="仿宋" w:eastAsia="仿宋" w:hAnsi="仿宋" w:cs="仿宋"/>
          <w:sz w:val="32"/>
          <w:szCs w:val="32"/>
        </w:rPr>
      </w:pPr>
      <w:r>
        <w:rPr>
          <w:rFonts w:ascii="仿宋" w:eastAsia="仿宋" w:hAnsi="仿宋" w:cs="仿宋" w:hint="eastAsia"/>
          <w:sz w:val="32"/>
          <w:szCs w:val="32"/>
        </w:rPr>
        <w:t>10.社会保障和就业（类）行政事业单位养老支出（款）机关事业单位基本养老保险缴费支出（项）：指事业单位在岗人员养老金等社会保险费用支出。</w:t>
      </w:r>
    </w:p>
    <w:p w:rsidR="00FD067F" w:rsidRDefault="00FD067F" w:rsidP="00FD067F">
      <w:pPr>
        <w:ind w:firstLineChars="200" w:firstLine="640"/>
        <w:rPr>
          <w:rFonts w:ascii="仿宋" w:eastAsia="仿宋" w:hAnsi="仿宋" w:cs="仿宋"/>
          <w:sz w:val="32"/>
          <w:szCs w:val="32"/>
        </w:rPr>
      </w:pPr>
      <w:r>
        <w:rPr>
          <w:rFonts w:ascii="仿宋" w:eastAsia="仿宋" w:hAnsi="仿宋" w:cs="仿宋" w:hint="eastAsia"/>
          <w:sz w:val="32"/>
          <w:szCs w:val="32"/>
        </w:rPr>
        <w:t>1</w:t>
      </w:r>
      <w:r w:rsidR="00DA31EC">
        <w:rPr>
          <w:rFonts w:ascii="仿宋" w:eastAsia="仿宋" w:hAnsi="仿宋" w:cs="仿宋" w:hint="eastAsia"/>
          <w:sz w:val="32"/>
          <w:szCs w:val="32"/>
        </w:rPr>
        <w:t>1</w:t>
      </w:r>
      <w:r>
        <w:rPr>
          <w:rFonts w:ascii="仿宋" w:eastAsia="仿宋" w:hAnsi="仿宋" w:cs="仿宋" w:hint="eastAsia"/>
          <w:sz w:val="32"/>
          <w:szCs w:val="32"/>
        </w:rPr>
        <w:t>.农林水（类）林业和草原（款）事业机构（项）：指为保障</w:t>
      </w:r>
      <w:r>
        <w:rPr>
          <w:rFonts w:ascii="仿宋" w:eastAsia="仿宋" w:hAnsi="仿宋" w:cs="仿宋" w:hint="eastAsia"/>
          <w:sz w:val="32"/>
          <w:szCs w:val="32"/>
        </w:rPr>
        <w:lastRenderedPageBreak/>
        <w:t>林业和草原事业单位机构正常运转、完成日常工作任务而发生的各项费用支出，包括人员经费和日常公用经费。</w:t>
      </w:r>
    </w:p>
    <w:p w:rsidR="00FD067F" w:rsidRDefault="00FD067F" w:rsidP="00FD067F">
      <w:pPr>
        <w:ind w:firstLineChars="200" w:firstLine="640"/>
        <w:rPr>
          <w:rFonts w:ascii="仿宋" w:eastAsia="仿宋" w:hAnsi="仿宋" w:cs="仿宋"/>
          <w:sz w:val="32"/>
          <w:szCs w:val="32"/>
        </w:rPr>
      </w:pPr>
      <w:r>
        <w:rPr>
          <w:rFonts w:ascii="仿宋" w:eastAsia="仿宋" w:hAnsi="仿宋" w:cs="仿宋" w:hint="eastAsia"/>
          <w:sz w:val="32"/>
          <w:szCs w:val="32"/>
        </w:rPr>
        <w:t>1</w:t>
      </w:r>
      <w:r w:rsidR="00DA31EC">
        <w:rPr>
          <w:rFonts w:ascii="仿宋" w:eastAsia="仿宋" w:hAnsi="仿宋" w:cs="仿宋" w:hint="eastAsia"/>
          <w:sz w:val="32"/>
          <w:szCs w:val="32"/>
        </w:rPr>
        <w:t>2</w:t>
      </w:r>
      <w:r>
        <w:rPr>
          <w:rFonts w:ascii="仿宋" w:eastAsia="仿宋" w:hAnsi="仿宋" w:cs="仿宋" w:hint="eastAsia"/>
          <w:sz w:val="32"/>
          <w:szCs w:val="32"/>
        </w:rPr>
        <w:t>.农林水（类）林业和草原（款）其他林业和草原支出（项）：</w:t>
      </w:r>
      <w:proofErr w:type="gramStart"/>
      <w:r>
        <w:rPr>
          <w:rFonts w:ascii="仿宋" w:eastAsia="仿宋" w:hAnsi="仿宋" w:cs="仿宋" w:hint="eastAsia"/>
          <w:sz w:val="32"/>
          <w:szCs w:val="32"/>
        </w:rPr>
        <w:t>指重点</w:t>
      </w:r>
      <w:proofErr w:type="gramEnd"/>
      <w:r>
        <w:rPr>
          <w:rFonts w:ascii="仿宋" w:eastAsia="仿宋" w:hAnsi="仿宋" w:cs="仿宋" w:hint="eastAsia"/>
          <w:sz w:val="32"/>
          <w:szCs w:val="32"/>
        </w:rPr>
        <w:t>生态功能区转移支付项目各项费用支出。</w:t>
      </w:r>
    </w:p>
    <w:p w:rsidR="00FD067F" w:rsidRDefault="00FD067F" w:rsidP="00FD067F">
      <w:pPr>
        <w:ind w:firstLineChars="200" w:firstLine="640"/>
        <w:rPr>
          <w:rFonts w:ascii="仿宋" w:eastAsia="仿宋" w:hAnsi="仿宋" w:cs="仿宋"/>
          <w:sz w:val="32"/>
          <w:szCs w:val="32"/>
        </w:rPr>
      </w:pPr>
      <w:r>
        <w:rPr>
          <w:rFonts w:ascii="仿宋" w:eastAsia="仿宋" w:hAnsi="仿宋" w:cs="仿宋" w:hint="eastAsia"/>
          <w:sz w:val="32"/>
          <w:szCs w:val="32"/>
        </w:rPr>
        <w:t>1</w:t>
      </w:r>
      <w:r w:rsidR="00DA31EC">
        <w:rPr>
          <w:rFonts w:ascii="仿宋" w:eastAsia="仿宋" w:hAnsi="仿宋" w:cs="仿宋" w:hint="eastAsia"/>
          <w:sz w:val="32"/>
          <w:szCs w:val="32"/>
        </w:rPr>
        <w:t>3</w:t>
      </w:r>
      <w:r>
        <w:rPr>
          <w:rFonts w:ascii="仿宋" w:eastAsia="仿宋" w:hAnsi="仿宋" w:cs="仿宋" w:hint="eastAsia"/>
          <w:sz w:val="32"/>
          <w:szCs w:val="32"/>
        </w:rPr>
        <w:t>.住房保障（类）住房改革支出（款）住房公积金（项）：指行政事业单位在编在岗人员住房公积金费用支出。</w:t>
      </w:r>
    </w:p>
    <w:p w:rsidR="00FD067F" w:rsidRDefault="00FD067F" w:rsidP="00FD067F">
      <w:pPr>
        <w:ind w:firstLineChars="200" w:firstLine="640"/>
        <w:rPr>
          <w:rFonts w:ascii="仿宋" w:eastAsia="仿宋" w:hAnsi="仿宋" w:cs="仿宋"/>
          <w:sz w:val="32"/>
          <w:szCs w:val="32"/>
        </w:rPr>
      </w:pPr>
      <w:r>
        <w:rPr>
          <w:rFonts w:ascii="仿宋" w:eastAsia="仿宋" w:hAnsi="仿宋" w:cs="仿宋" w:hint="eastAsia"/>
          <w:sz w:val="32"/>
          <w:szCs w:val="32"/>
        </w:rPr>
        <w:t>1</w:t>
      </w:r>
      <w:r w:rsidR="00DA31EC">
        <w:rPr>
          <w:rFonts w:ascii="仿宋" w:eastAsia="仿宋" w:hAnsi="仿宋" w:cs="仿宋" w:hint="eastAsia"/>
          <w:sz w:val="32"/>
          <w:szCs w:val="32"/>
        </w:rPr>
        <w:t>4</w:t>
      </w:r>
      <w:r>
        <w:rPr>
          <w:rFonts w:ascii="仿宋" w:eastAsia="仿宋" w:hAnsi="仿宋" w:cs="仿宋" w:hint="eastAsia"/>
          <w:sz w:val="32"/>
          <w:szCs w:val="32"/>
        </w:rPr>
        <w:t>.基本支出：指为保障机构正常运转、完成日常工作任务而发生的人员支出和公用支出。</w:t>
      </w:r>
    </w:p>
    <w:p w:rsidR="00FD067F" w:rsidRDefault="00FE610E" w:rsidP="00FD067F">
      <w:pPr>
        <w:ind w:firstLineChars="200" w:firstLine="640"/>
        <w:rPr>
          <w:rFonts w:ascii="仿宋" w:eastAsia="仿宋" w:hAnsi="仿宋" w:cs="仿宋"/>
          <w:sz w:val="32"/>
          <w:szCs w:val="32"/>
        </w:rPr>
      </w:pPr>
      <w:r>
        <w:rPr>
          <w:rFonts w:ascii="仿宋" w:eastAsia="仿宋" w:hAnsi="仿宋" w:cs="仿宋" w:hint="eastAsia"/>
          <w:sz w:val="32"/>
          <w:szCs w:val="32"/>
        </w:rPr>
        <w:t>1</w:t>
      </w:r>
      <w:r w:rsidR="00DA31EC">
        <w:rPr>
          <w:rFonts w:ascii="仿宋" w:eastAsia="仿宋" w:hAnsi="仿宋" w:cs="仿宋" w:hint="eastAsia"/>
          <w:sz w:val="32"/>
          <w:szCs w:val="32"/>
        </w:rPr>
        <w:t>5</w:t>
      </w:r>
      <w:r w:rsidR="00FD067F">
        <w:rPr>
          <w:rFonts w:ascii="仿宋" w:eastAsia="仿宋" w:hAnsi="仿宋" w:cs="仿宋" w:hint="eastAsia"/>
          <w:sz w:val="32"/>
          <w:szCs w:val="32"/>
        </w:rPr>
        <w:t xml:space="preserve">.项目支出：指在基本支出之外为完成特定行政任务和事业发展目标所发生的支出。 </w:t>
      </w:r>
    </w:p>
    <w:p w:rsidR="00FD067F" w:rsidRDefault="00FD067F" w:rsidP="00FD067F">
      <w:pPr>
        <w:ind w:firstLineChars="200" w:firstLine="640"/>
        <w:rPr>
          <w:rFonts w:ascii="仿宋" w:eastAsia="仿宋" w:hAnsi="仿宋" w:cs="仿宋"/>
          <w:sz w:val="32"/>
          <w:szCs w:val="32"/>
        </w:rPr>
      </w:pPr>
      <w:r>
        <w:rPr>
          <w:rFonts w:ascii="仿宋" w:eastAsia="仿宋" w:hAnsi="仿宋" w:cs="仿宋" w:hint="eastAsia"/>
          <w:sz w:val="32"/>
          <w:szCs w:val="32"/>
        </w:rPr>
        <w:t>1</w:t>
      </w:r>
      <w:r w:rsidR="00DA31EC">
        <w:rPr>
          <w:rFonts w:ascii="仿宋" w:eastAsia="仿宋" w:hAnsi="仿宋" w:cs="仿宋" w:hint="eastAsia"/>
          <w:sz w:val="32"/>
          <w:szCs w:val="32"/>
        </w:rPr>
        <w:t>6</w:t>
      </w:r>
      <w:r>
        <w:rPr>
          <w:rFonts w:ascii="仿宋" w:eastAsia="仿宋" w:hAnsi="仿宋" w:cs="仿宋" w:hint="eastAsia"/>
          <w:sz w:val="32"/>
          <w:szCs w:val="32"/>
        </w:rPr>
        <w:t>.经营支出：指事业单位在专业业务活动及其辅助活动之外开展非独立核算经营活动发生的支出。</w:t>
      </w:r>
    </w:p>
    <w:p w:rsidR="00FD067F" w:rsidRDefault="00FE610E" w:rsidP="00FD067F">
      <w:pPr>
        <w:pStyle w:val="Default"/>
        <w:spacing w:line="560" w:lineRule="exact"/>
        <w:ind w:firstLineChars="200" w:firstLine="640"/>
        <w:rPr>
          <w:rFonts w:hAnsi="仿宋"/>
          <w:color w:val="auto"/>
          <w:sz w:val="32"/>
          <w:szCs w:val="32"/>
        </w:rPr>
      </w:pPr>
      <w:r>
        <w:rPr>
          <w:rFonts w:hAnsi="仿宋" w:hint="eastAsia"/>
          <w:color w:val="auto"/>
          <w:sz w:val="32"/>
          <w:szCs w:val="32"/>
        </w:rPr>
        <w:t>1</w:t>
      </w:r>
      <w:r w:rsidR="00DA31EC">
        <w:rPr>
          <w:rFonts w:hAnsi="仿宋" w:hint="eastAsia"/>
          <w:color w:val="auto"/>
          <w:sz w:val="32"/>
          <w:szCs w:val="32"/>
        </w:rPr>
        <w:t>7</w:t>
      </w:r>
      <w:r w:rsidR="00FD067F">
        <w:rPr>
          <w:rFonts w:hAnsi="仿宋" w:hint="eastAsia"/>
          <w:color w:val="auto"/>
          <w:sz w:val="32"/>
          <w:szCs w:val="32"/>
        </w:rPr>
        <w:t>.“三公”经费：指单位用财政拨款安排的因公出国（境）费、公务用车购置及运行费和公务接待费。其中，因公出国（境）</w:t>
      </w:r>
      <w:proofErr w:type="gramStart"/>
      <w:r w:rsidR="00FD067F">
        <w:rPr>
          <w:rFonts w:hAnsi="仿宋" w:hint="eastAsia"/>
          <w:color w:val="auto"/>
          <w:sz w:val="32"/>
          <w:szCs w:val="32"/>
        </w:rPr>
        <w:t>费反映</w:t>
      </w:r>
      <w:proofErr w:type="gramEnd"/>
      <w:r w:rsidR="00FD067F">
        <w:rPr>
          <w:rFonts w:hAnsi="仿宋" w:hint="eastAsia"/>
          <w:color w:val="auto"/>
          <w:sz w:val="32"/>
          <w:szCs w:val="32"/>
        </w:rPr>
        <w:t>单位公务出国（境）的国际旅费、国外城市间交通费、住宿费、伙食费、培训费、公杂费等支出；公务用车购置及运行</w:t>
      </w:r>
      <w:proofErr w:type="gramStart"/>
      <w:r w:rsidR="00FD067F">
        <w:rPr>
          <w:rFonts w:hAnsi="仿宋" w:hint="eastAsia"/>
          <w:color w:val="auto"/>
          <w:sz w:val="32"/>
          <w:szCs w:val="32"/>
        </w:rPr>
        <w:t>费反映</w:t>
      </w:r>
      <w:proofErr w:type="gramEnd"/>
      <w:r w:rsidR="00FD067F">
        <w:rPr>
          <w:rFonts w:hAnsi="仿宋" w:hint="eastAsia"/>
          <w:color w:val="auto"/>
          <w:sz w:val="32"/>
          <w:szCs w:val="32"/>
        </w:rPr>
        <w:t>单位公务用车车辆购置支出（</w:t>
      </w:r>
      <w:proofErr w:type="gramStart"/>
      <w:r w:rsidR="00FD067F">
        <w:rPr>
          <w:rFonts w:hAnsi="仿宋" w:hint="eastAsia"/>
          <w:color w:val="auto"/>
          <w:sz w:val="32"/>
          <w:szCs w:val="32"/>
        </w:rPr>
        <w:t>含车辆</w:t>
      </w:r>
      <w:proofErr w:type="gramEnd"/>
      <w:r w:rsidR="00FD067F">
        <w:rPr>
          <w:rFonts w:hAnsi="仿宋" w:hint="eastAsia"/>
          <w:color w:val="auto"/>
          <w:sz w:val="32"/>
          <w:szCs w:val="32"/>
        </w:rPr>
        <w:t>购置税）及租用费、燃料费、维修费、过路过桥费、保险费等支出；公务接待</w:t>
      </w:r>
      <w:proofErr w:type="gramStart"/>
      <w:r w:rsidR="00FD067F">
        <w:rPr>
          <w:rFonts w:hAnsi="仿宋" w:hint="eastAsia"/>
          <w:color w:val="auto"/>
          <w:sz w:val="32"/>
          <w:szCs w:val="32"/>
        </w:rPr>
        <w:t>费反映</w:t>
      </w:r>
      <w:proofErr w:type="gramEnd"/>
      <w:r w:rsidR="00FD067F">
        <w:rPr>
          <w:rFonts w:hAnsi="仿宋" w:hint="eastAsia"/>
          <w:color w:val="auto"/>
          <w:sz w:val="32"/>
          <w:szCs w:val="32"/>
        </w:rPr>
        <w:t>单位按规定开支的各类公务接待（含外宾接待）支出。</w:t>
      </w:r>
    </w:p>
    <w:p w:rsidR="00FD067F" w:rsidRDefault="00FD067F" w:rsidP="00FD067F">
      <w:pPr>
        <w:pStyle w:val="Default"/>
        <w:spacing w:line="560" w:lineRule="exact"/>
        <w:ind w:firstLineChars="200" w:firstLine="640"/>
        <w:rPr>
          <w:rFonts w:ascii="仿宋_GB2312" w:eastAsia="仿宋_GB2312" w:cs="黑体"/>
          <w:color w:val="auto"/>
          <w:sz w:val="32"/>
          <w:szCs w:val="32"/>
        </w:rPr>
      </w:pPr>
    </w:p>
    <w:p w:rsidR="000415F0" w:rsidRPr="00FD067F" w:rsidRDefault="000415F0">
      <w:pPr>
        <w:pStyle w:val="Default"/>
        <w:spacing w:line="560" w:lineRule="exact"/>
        <w:ind w:firstLineChars="200" w:firstLine="640"/>
        <w:rPr>
          <w:rFonts w:ascii="仿宋_GB2312" w:eastAsia="仿宋_GB2312" w:cs="黑体"/>
          <w:color w:val="auto"/>
          <w:sz w:val="32"/>
          <w:szCs w:val="32"/>
        </w:rPr>
      </w:pPr>
    </w:p>
    <w:p w:rsidR="000415F0" w:rsidRDefault="00506E6A">
      <w:pPr>
        <w:spacing w:line="600" w:lineRule="exact"/>
        <w:ind w:firstLineChars="200" w:firstLine="883"/>
        <w:jc w:val="center"/>
        <w:outlineLvl w:val="0"/>
        <w:rPr>
          <w:rStyle w:val="1Char"/>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rsidR="000415F0" w:rsidRDefault="00506E6A">
      <w:pPr>
        <w:spacing w:line="572" w:lineRule="exact"/>
        <w:ind w:firstLineChars="200" w:firstLine="640"/>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0415F0">
        <w:trPr>
          <w:trHeight w:val="675"/>
        </w:trPr>
        <w:tc>
          <w:tcPr>
            <w:tcW w:w="9577" w:type="dxa"/>
            <w:gridSpan w:val="6"/>
            <w:tcBorders>
              <w:top w:val="nil"/>
              <w:left w:val="nil"/>
              <w:bottom w:val="nil"/>
              <w:right w:val="nil"/>
            </w:tcBorders>
            <w:shd w:val="clear" w:color="auto" w:fill="auto"/>
            <w:vAlign w:val="center"/>
          </w:tcPr>
          <w:p w:rsidR="000415F0" w:rsidRDefault="00BD5564" w:rsidP="00BD5564">
            <w:pPr>
              <w:widowControl/>
              <w:jc w:val="center"/>
              <w:textAlignment w:val="center"/>
              <w:rPr>
                <w:rFonts w:ascii="宋体" w:hAnsi="宋体" w:cs="宋体"/>
                <w:b/>
                <w:sz w:val="32"/>
                <w:szCs w:val="32"/>
              </w:rPr>
            </w:pPr>
            <w:bookmarkStart w:id="54" w:name="_Toc15396618"/>
            <w:r w:rsidRPr="00D852A3">
              <w:rPr>
                <w:rFonts w:ascii="宋体" w:hAnsi="宋体" w:cs="宋体"/>
                <w:b/>
                <w:w w:val="98"/>
                <w:sz w:val="32"/>
                <w:szCs w:val="32"/>
              </w:rPr>
              <w:t>2021</w:t>
            </w:r>
            <w:r w:rsidRPr="00D852A3">
              <w:rPr>
                <w:rFonts w:ascii="宋体" w:hAnsi="宋体" w:cs="宋体" w:hint="eastAsia"/>
                <w:b/>
                <w:w w:val="98"/>
                <w:sz w:val="32"/>
                <w:szCs w:val="32"/>
              </w:rPr>
              <w:t>年特定目标类部门预算项目绩效目标自评</w:t>
            </w:r>
          </w:p>
        </w:tc>
        <w:tc>
          <w:tcPr>
            <w:tcW w:w="234" w:type="dxa"/>
            <w:tcBorders>
              <w:top w:val="nil"/>
              <w:left w:val="nil"/>
              <w:bottom w:val="nil"/>
              <w:right w:val="nil"/>
            </w:tcBorders>
            <w:shd w:val="clear" w:color="auto" w:fill="auto"/>
            <w:vAlign w:val="center"/>
          </w:tcPr>
          <w:p w:rsidR="000415F0" w:rsidRDefault="000415F0">
            <w:pPr>
              <w:widowControl/>
              <w:jc w:val="center"/>
              <w:textAlignment w:val="center"/>
              <w:rPr>
                <w:rFonts w:ascii="宋体" w:hAnsi="宋体" w:cs="宋体"/>
                <w:b/>
                <w:kern w:val="0"/>
                <w:sz w:val="32"/>
                <w:szCs w:val="32"/>
              </w:rPr>
            </w:pPr>
          </w:p>
        </w:tc>
      </w:tr>
      <w:tr w:rsidR="000415F0">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textAlignment w:val="center"/>
              <w:rPr>
                <w:rFonts w:ascii="宋体" w:hAnsi="宋体" w:cs="宋体"/>
                <w:sz w:val="24"/>
              </w:rPr>
            </w:pPr>
            <w:r>
              <w:rPr>
                <w:rFonts w:ascii="宋体" w:hAnsi="宋体" w:cs="宋体" w:hint="eastAsia"/>
                <w:sz w:val="24"/>
              </w:rPr>
              <w:t>攀枝花市林业局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宋体" w:hAnsi="宋体" w:cs="宋体"/>
                <w:sz w:val="24"/>
              </w:rPr>
            </w:pPr>
            <w:r>
              <w:rPr>
                <w:rFonts w:ascii="宋体" w:hAnsi="宋体" w:cs="宋体" w:hint="eastAsia"/>
                <w:sz w:val="24"/>
              </w:rPr>
              <w:t>攀枝花市林业技术服务中心</w:t>
            </w:r>
          </w:p>
        </w:tc>
      </w:tr>
      <w:tr w:rsidR="000415F0">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480"/>
              <w:jc w:val="center"/>
              <w:textAlignment w:val="center"/>
              <w:rPr>
                <w:rFonts w:ascii="宋体" w:hAnsi="宋体" w:cs="宋体"/>
                <w:kern w:val="0"/>
                <w:sz w:val="24"/>
              </w:rPr>
            </w:pPr>
            <w:r>
              <w:rPr>
                <w:rFonts w:ascii="宋体" w:hAnsi="宋体" w:cs="宋体" w:hint="eastAsia"/>
                <w:kern w:val="0"/>
                <w:sz w:val="24"/>
              </w:rPr>
              <w:t>项目预算</w:t>
            </w:r>
          </w:p>
          <w:p w:rsidR="000415F0" w:rsidRDefault="00506E6A">
            <w:pPr>
              <w:widowControl/>
              <w:spacing w:line="320" w:lineRule="exact"/>
              <w:ind w:firstLineChars="200" w:firstLine="480"/>
              <w:jc w:val="center"/>
              <w:textAlignment w:val="center"/>
              <w:rPr>
                <w:rFonts w:ascii="宋体" w:hAnsi="宋体" w:cs="宋体"/>
                <w:kern w:val="0"/>
                <w:sz w:val="24"/>
              </w:rPr>
            </w:pPr>
            <w:r>
              <w:rPr>
                <w:rFonts w:ascii="宋体" w:hAnsi="宋体" w:cs="宋体" w:hint="eastAsia"/>
                <w:kern w:val="0"/>
                <w:sz w:val="24"/>
              </w:rPr>
              <w:t>执行情况</w:t>
            </w:r>
          </w:p>
          <w:p w:rsidR="000415F0" w:rsidRDefault="00506E6A">
            <w:pPr>
              <w:widowControl/>
              <w:spacing w:line="320" w:lineRule="exact"/>
              <w:ind w:firstLineChars="200" w:firstLine="480"/>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left"/>
              <w:textAlignment w:val="center"/>
              <w:rPr>
                <w:rFonts w:ascii="宋体" w:hAnsi="宋体" w:cs="宋体"/>
                <w:sz w:val="24"/>
              </w:rPr>
            </w:pPr>
            <w:r>
              <w:rPr>
                <w:rFonts w:ascii="宋体" w:hAnsi="宋体" w:cs="宋体" w:hint="eastAsia"/>
                <w:sz w:val="24"/>
              </w:rPr>
              <w:t>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right"/>
              <w:textAlignment w:val="center"/>
              <w:rPr>
                <w:rFonts w:ascii="宋体" w:hAnsi="宋体" w:cs="宋体"/>
                <w:sz w:val="24"/>
              </w:rPr>
            </w:pPr>
            <w:r>
              <w:rPr>
                <w:rFonts w:ascii="宋体" w:hAnsi="宋体" w:cs="宋体" w:hint="eastAsia"/>
                <w:sz w:val="24"/>
              </w:rPr>
              <w:t>0.44</w:t>
            </w:r>
          </w:p>
        </w:tc>
      </w:tr>
      <w:tr w:rsidR="000415F0">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0415F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480"/>
              <w:jc w:val="left"/>
              <w:textAlignment w:val="center"/>
              <w:rPr>
                <w:rFonts w:ascii="宋体" w:hAnsi="宋体" w:cs="宋体"/>
                <w:kern w:val="0"/>
                <w:sz w:val="24"/>
              </w:rPr>
            </w:pPr>
            <w:r>
              <w:rPr>
                <w:rFonts w:ascii="宋体" w:hAnsi="宋体" w:cs="宋体" w:hint="eastAsia"/>
                <w:kern w:val="0"/>
                <w:sz w:val="24"/>
              </w:rPr>
              <w:t>其中：</w:t>
            </w:r>
          </w:p>
          <w:p w:rsidR="000415F0" w:rsidRDefault="00506E6A">
            <w:pPr>
              <w:widowControl/>
              <w:spacing w:line="320" w:lineRule="exact"/>
              <w:ind w:firstLineChars="200" w:firstLine="480"/>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left"/>
              <w:textAlignment w:val="center"/>
              <w:rPr>
                <w:rFonts w:ascii="宋体" w:hAnsi="宋体" w:cs="宋体"/>
                <w:sz w:val="24"/>
              </w:rPr>
            </w:pPr>
            <w:r>
              <w:rPr>
                <w:rFonts w:ascii="宋体" w:hAnsi="宋体" w:cs="宋体" w:hint="eastAsia"/>
                <w:sz w:val="24"/>
              </w:rPr>
              <w:t>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480"/>
              <w:jc w:val="left"/>
              <w:textAlignment w:val="center"/>
              <w:rPr>
                <w:rFonts w:ascii="宋体" w:hAnsi="宋体" w:cs="宋体"/>
                <w:kern w:val="0"/>
                <w:sz w:val="24"/>
              </w:rPr>
            </w:pPr>
            <w:r>
              <w:rPr>
                <w:rFonts w:ascii="宋体" w:hAnsi="宋体" w:cs="宋体" w:hint="eastAsia"/>
                <w:kern w:val="0"/>
                <w:sz w:val="24"/>
              </w:rPr>
              <w:t>其中：</w:t>
            </w:r>
          </w:p>
          <w:p w:rsidR="000415F0" w:rsidRDefault="00506E6A">
            <w:pPr>
              <w:widowControl/>
              <w:spacing w:line="320" w:lineRule="exact"/>
              <w:ind w:firstLineChars="200" w:firstLine="480"/>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textAlignment w:val="center"/>
              <w:rPr>
                <w:rFonts w:ascii="宋体" w:hAnsi="宋体" w:cs="宋体"/>
                <w:sz w:val="24"/>
              </w:rPr>
            </w:pPr>
            <w:r>
              <w:rPr>
                <w:rFonts w:ascii="宋体" w:hAnsi="宋体" w:cs="宋体" w:hint="eastAsia"/>
                <w:sz w:val="24"/>
              </w:rPr>
              <w:t>0.44</w:t>
            </w:r>
          </w:p>
        </w:tc>
      </w:tr>
      <w:tr w:rsidR="000415F0">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0415F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0415F0">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0415F0">
            <w:pPr>
              <w:widowControl/>
              <w:spacing w:line="320" w:lineRule="exact"/>
              <w:jc w:val="center"/>
              <w:textAlignment w:val="center"/>
              <w:rPr>
                <w:rFonts w:ascii="宋体" w:hAnsi="宋体" w:cs="宋体"/>
                <w:sz w:val="24"/>
              </w:rPr>
            </w:pPr>
          </w:p>
        </w:tc>
      </w:tr>
      <w:tr w:rsidR="000415F0">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480"/>
              <w:jc w:val="center"/>
              <w:textAlignment w:val="center"/>
              <w:rPr>
                <w:rFonts w:ascii="宋体" w:hAnsi="宋体" w:cs="宋体"/>
                <w:kern w:val="0"/>
                <w:sz w:val="24"/>
              </w:rPr>
            </w:pPr>
            <w:r>
              <w:rPr>
                <w:rFonts w:ascii="宋体" w:hAnsi="宋体" w:cs="宋体" w:hint="eastAsia"/>
                <w:kern w:val="0"/>
                <w:sz w:val="24"/>
              </w:rPr>
              <w:t>年度总体目标</w:t>
            </w:r>
          </w:p>
          <w:p w:rsidR="000415F0" w:rsidRDefault="00506E6A">
            <w:pPr>
              <w:widowControl/>
              <w:spacing w:line="320" w:lineRule="exact"/>
              <w:ind w:firstLineChars="200" w:firstLine="480"/>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0415F0">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0415F0">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0415F0" w:rsidRDefault="00506E6A">
            <w:pPr>
              <w:widowControl/>
              <w:spacing w:line="320" w:lineRule="exact"/>
              <w:jc w:val="left"/>
              <w:textAlignment w:val="top"/>
              <w:rPr>
                <w:rFonts w:ascii="宋体" w:hAnsi="宋体" w:cs="宋体"/>
                <w:sz w:val="24"/>
              </w:rPr>
            </w:pPr>
            <w:r>
              <w:rPr>
                <w:rFonts w:ascii="宋体" w:hAnsi="宋体" w:cs="宋体" w:hint="eastAsia"/>
                <w:sz w:val="24"/>
              </w:rPr>
              <w:t>乡土树种培育及推广</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0415F0" w:rsidRDefault="00506E6A">
            <w:pPr>
              <w:widowControl/>
              <w:spacing w:line="320" w:lineRule="exact"/>
              <w:jc w:val="left"/>
              <w:textAlignment w:val="top"/>
              <w:rPr>
                <w:rFonts w:ascii="宋体" w:hAnsi="宋体" w:cs="宋体"/>
                <w:sz w:val="24"/>
              </w:rPr>
            </w:pPr>
            <w:r>
              <w:rPr>
                <w:rFonts w:ascii="宋体" w:hAnsi="宋体" w:cs="宋体" w:hint="eastAsia"/>
                <w:sz w:val="24"/>
              </w:rPr>
              <w:t>完成基地整备</w:t>
            </w:r>
          </w:p>
        </w:tc>
      </w:tr>
      <w:tr w:rsidR="000415F0">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560"/>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0415F0" w:rsidRDefault="00506E6A">
            <w:pPr>
              <w:widowControl/>
              <w:spacing w:line="320" w:lineRule="exact"/>
              <w:ind w:firstLineChars="200" w:firstLine="56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560"/>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0415F0" w:rsidRDefault="00506E6A">
            <w:pPr>
              <w:widowControl/>
              <w:spacing w:line="320" w:lineRule="exact"/>
              <w:ind w:firstLineChars="200" w:firstLine="56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560"/>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0415F0" w:rsidRDefault="00506E6A">
            <w:pPr>
              <w:widowControl/>
              <w:spacing w:line="320" w:lineRule="exact"/>
              <w:ind w:firstLineChars="200" w:firstLine="56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0415F0">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560"/>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0415F0" w:rsidRDefault="00506E6A">
            <w:pPr>
              <w:widowControl/>
              <w:spacing w:line="320" w:lineRule="exact"/>
              <w:ind w:firstLineChars="200" w:firstLine="560"/>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jc w:val="left"/>
              <w:textAlignment w:val="center"/>
              <w:rPr>
                <w:rFonts w:ascii="宋体" w:hAnsi="宋体" w:cs="宋体"/>
                <w:color w:val="000000"/>
                <w:sz w:val="24"/>
              </w:rPr>
            </w:pPr>
            <w:r>
              <w:rPr>
                <w:rFonts w:ascii="宋体" w:hAnsi="宋体" w:cs="宋体" w:hint="eastAsia"/>
                <w:color w:val="000000"/>
                <w:kern w:val="0"/>
                <w:sz w:val="24"/>
              </w:rPr>
              <w:t>苗木数量</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10万株</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r>
      <w:tr w:rsidR="000415F0">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达到林业行业苗木一级、二级标准</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达到林业行业苗木一级、二级标准</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0415F0">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出圃时间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2021年至2022年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0415F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苗木单价</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每株3元以内</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0415F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5F0" w:rsidRDefault="00506E6A">
            <w:pPr>
              <w:widowControl/>
              <w:spacing w:line="320" w:lineRule="exact"/>
              <w:ind w:firstLineChars="200" w:firstLine="560"/>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0415F0" w:rsidRDefault="00506E6A">
            <w:pPr>
              <w:widowControl/>
              <w:spacing w:line="320" w:lineRule="exact"/>
              <w:ind w:firstLineChars="200" w:firstLine="560"/>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widowControl/>
              <w:spacing w:line="320" w:lineRule="exact"/>
              <w:jc w:val="center"/>
              <w:textAlignment w:val="bottom"/>
              <w:rPr>
                <w:rFonts w:ascii="仿宋_GB2312" w:eastAsia="仿宋_GB2312" w:hAnsi="仿宋_GB2312" w:cs="仿宋_GB2312"/>
                <w:sz w:val="28"/>
                <w:szCs w:val="28"/>
              </w:rPr>
            </w:pPr>
          </w:p>
        </w:tc>
      </w:tr>
      <w:tr w:rsidR="000415F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widowControl/>
              <w:spacing w:line="320" w:lineRule="exact"/>
              <w:jc w:val="center"/>
              <w:textAlignment w:val="bottom"/>
              <w:rPr>
                <w:rFonts w:ascii="仿宋_GB2312" w:eastAsia="仿宋_GB2312" w:hAnsi="仿宋_GB2312" w:cs="仿宋_GB2312"/>
                <w:sz w:val="28"/>
                <w:szCs w:val="28"/>
              </w:rPr>
            </w:pPr>
          </w:p>
        </w:tc>
      </w:tr>
      <w:tr w:rsidR="000415F0">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成活率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95以上</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0415F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0415F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推广</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确保长期使用</w:t>
            </w:r>
            <w:r>
              <w:rPr>
                <w:rFonts w:ascii="仿宋_GB2312" w:eastAsia="仿宋_GB2312" w:hAnsi="仿宋_GB2312" w:cs="仿宋_GB2312" w:hint="eastAsia"/>
                <w:sz w:val="28"/>
                <w:szCs w:val="28"/>
              </w:rPr>
              <w:lastRenderedPageBreak/>
              <w:t>乡土树种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80%</w:t>
            </w:r>
          </w:p>
        </w:tc>
      </w:tr>
      <w:tr w:rsidR="000415F0">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0415F0" w:rsidRDefault="000415F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ind w:firstLineChars="200" w:firstLine="560"/>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0415F0" w:rsidRDefault="00506E6A">
            <w:pPr>
              <w:widowControl/>
              <w:spacing w:line="320" w:lineRule="exact"/>
              <w:ind w:firstLineChars="200" w:firstLine="560"/>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ind w:firstLineChars="200" w:firstLine="560"/>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0415F0" w:rsidRDefault="00506E6A">
            <w:pPr>
              <w:widowControl/>
              <w:spacing w:line="320" w:lineRule="exact"/>
              <w:ind w:firstLineChars="200" w:firstLine="560"/>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随机抽查数达到基本满意以上</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5F0" w:rsidRDefault="00506E6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rsidR="000415F0" w:rsidRDefault="000415F0">
      <w:pPr>
        <w:spacing w:line="600" w:lineRule="exact"/>
        <w:jc w:val="center"/>
        <w:outlineLvl w:val="0"/>
        <w:rPr>
          <w:rFonts w:ascii="黑体" w:eastAsia="黑体" w:hAnsi="黑体"/>
          <w:sz w:val="44"/>
          <w:szCs w:val="44"/>
        </w:rPr>
      </w:pPr>
    </w:p>
    <w:p w:rsidR="000415F0" w:rsidRDefault="000415F0">
      <w:pPr>
        <w:spacing w:line="600" w:lineRule="exact"/>
        <w:jc w:val="center"/>
        <w:outlineLvl w:val="0"/>
        <w:rPr>
          <w:rFonts w:ascii="黑体" w:eastAsia="黑体" w:hAnsi="黑体"/>
          <w:sz w:val="44"/>
          <w:szCs w:val="44"/>
        </w:rPr>
      </w:pPr>
    </w:p>
    <w:p w:rsidR="000415F0" w:rsidRDefault="000415F0">
      <w:pPr>
        <w:spacing w:line="600" w:lineRule="exact"/>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0415F0" w:rsidRDefault="000415F0">
      <w:pPr>
        <w:spacing w:line="600" w:lineRule="exact"/>
        <w:ind w:firstLineChars="200" w:firstLine="880"/>
        <w:jc w:val="center"/>
        <w:outlineLvl w:val="0"/>
        <w:rPr>
          <w:rFonts w:ascii="黑体" w:eastAsia="黑体" w:hAnsi="黑体"/>
          <w:sz w:val="44"/>
          <w:szCs w:val="44"/>
        </w:rPr>
      </w:pPr>
    </w:p>
    <w:p w:rsidR="00BD5564" w:rsidRDefault="00BD5564">
      <w:pPr>
        <w:spacing w:line="600" w:lineRule="exact"/>
        <w:jc w:val="center"/>
        <w:outlineLvl w:val="0"/>
        <w:rPr>
          <w:rFonts w:ascii="黑体" w:eastAsia="黑体" w:hAnsi="黑体"/>
          <w:sz w:val="44"/>
          <w:szCs w:val="44"/>
        </w:rPr>
      </w:pPr>
    </w:p>
    <w:p w:rsidR="000415F0" w:rsidRDefault="00506E6A">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0415F0" w:rsidRDefault="00506E6A">
      <w:pPr>
        <w:pStyle w:val="2"/>
        <w:ind w:firstLineChars="200" w:firstLine="640"/>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0415F0" w:rsidRDefault="00506E6A">
      <w:pPr>
        <w:pStyle w:val="2"/>
        <w:ind w:firstLineChars="200" w:firstLine="640"/>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0415F0" w:rsidRDefault="00506E6A">
      <w:pPr>
        <w:pStyle w:val="2"/>
        <w:ind w:firstLineChars="200" w:firstLine="640"/>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0415F0" w:rsidRDefault="00506E6A">
      <w:pPr>
        <w:pStyle w:val="2"/>
        <w:ind w:firstLineChars="200" w:firstLine="640"/>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0415F0" w:rsidRDefault="00506E6A">
      <w:pPr>
        <w:pStyle w:val="2"/>
        <w:ind w:firstLineChars="200" w:firstLine="640"/>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0415F0" w:rsidRDefault="00506E6A">
      <w:pPr>
        <w:pStyle w:val="2"/>
        <w:ind w:firstLineChars="200" w:firstLine="640"/>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0415F0" w:rsidRDefault="00506E6A">
      <w:pPr>
        <w:pStyle w:val="2"/>
        <w:ind w:firstLineChars="200" w:firstLine="640"/>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0415F0" w:rsidRDefault="00506E6A">
      <w:pPr>
        <w:pStyle w:val="2"/>
        <w:ind w:firstLineChars="200" w:firstLine="640"/>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0415F0" w:rsidRDefault="00506E6A">
      <w:pPr>
        <w:pStyle w:val="2"/>
        <w:ind w:firstLineChars="200" w:firstLine="640"/>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0415F0" w:rsidRDefault="00506E6A">
      <w:pPr>
        <w:pStyle w:val="2"/>
        <w:ind w:firstLineChars="200" w:firstLine="640"/>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0415F0" w:rsidRDefault="00506E6A">
      <w:pPr>
        <w:pStyle w:val="2"/>
        <w:ind w:firstLineChars="200" w:firstLine="640"/>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0415F0" w:rsidRDefault="00506E6A">
      <w:pPr>
        <w:pStyle w:val="2"/>
        <w:ind w:firstLineChars="200" w:firstLine="640"/>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0415F0" w:rsidRDefault="00506E6A">
      <w:pPr>
        <w:pStyle w:val="2"/>
        <w:ind w:firstLineChars="200" w:firstLine="640"/>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0415F0" w:rsidRDefault="00506E6A">
      <w:pPr>
        <w:ind w:firstLineChars="200" w:firstLine="640"/>
        <w:rPr>
          <w:rFonts w:eastAsia="仿宋"/>
        </w:rPr>
      </w:pPr>
      <w:r>
        <w:rPr>
          <w:rStyle w:val="2Char"/>
          <w:rFonts w:ascii="仿宋" w:eastAsia="仿宋" w:hAnsi="仿宋" w:hint="eastAsia"/>
          <w:b w:val="0"/>
          <w:bCs w:val="0"/>
        </w:rPr>
        <w:t>十四、国有资本经营预算财政拨款支出决算表</w:t>
      </w:r>
    </w:p>
    <w:sectPr w:rsidR="000415F0" w:rsidSect="000415F0">
      <w:headerReference w:type="default" r:id="rId14"/>
      <w:footerReference w:type="default" r:id="rId15"/>
      <w:pgSz w:w="11906" w:h="16838"/>
      <w:pgMar w:top="1440" w:right="1293" w:bottom="1440" w:left="1293"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2D6" w:rsidRDefault="00C022D6" w:rsidP="000415F0">
      <w:r>
        <w:separator/>
      </w:r>
    </w:p>
  </w:endnote>
  <w:endnote w:type="continuationSeparator" w:id="1">
    <w:p w:rsidR="00C022D6" w:rsidRDefault="00C022D6" w:rsidP="00041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415F0" w:rsidRDefault="00732BEE">
        <w:pPr>
          <w:pStyle w:val="a5"/>
          <w:jc w:val="center"/>
        </w:pPr>
        <w:r>
          <w:fldChar w:fldCharType="begin"/>
        </w:r>
        <w:r w:rsidR="00506E6A">
          <w:instrText>PAGE   \* MERGEFORMAT</w:instrText>
        </w:r>
        <w:r>
          <w:fldChar w:fldCharType="separate"/>
        </w:r>
        <w:r w:rsidR="00B847E9" w:rsidRPr="00B847E9">
          <w:rPr>
            <w:noProof/>
            <w:lang w:val="zh-CN"/>
          </w:rPr>
          <w:t>14</w:t>
        </w:r>
        <w:r>
          <w:fldChar w:fldCharType="end"/>
        </w:r>
      </w:p>
    </w:sdtContent>
  </w:sdt>
  <w:p w:rsidR="000415F0" w:rsidRDefault="000415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2D6" w:rsidRDefault="00C022D6" w:rsidP="000415F0">
      <w:r>
        <w:separator/>
      </w:r>
    </w:p>
  </w:footnote>
  <w:footnote w:type="continuationSeparator" w:id="1">
    <w:p w:rsidR="00C022D6" w:rsidRDefault="00C022D6" w:rsidP="00041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F0" w:rsidRDefault="000415F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21CB9"/>
    <w:multiLevelType w:val="singleLevel"/>
    <w:tmpl w:val="87021CB9"/>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EE7A8E3C"/>
    <w:multiLevelType w:val="singleLevel"/>
    <w:tmpl w:val="EE7A8E3C"/>
    <w:lvl w:ilvl="0">
      <w:start w:val="1"/>
      <w:numFmt w:val="decimal"/>
      <w:lvlText w:val="%1."/>
      <w:lvlJc w:val="left"/>
      <w:pPr>
        <w:tabs>
          <w:tab w:val="left" w:pos="312"/>
        </w:tabs>
        <w:ind w:left="197"/>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625590A5"/>
    <w:multiLevelType w:val="singleLevel"/>
    <w:tmpl w:val="625590A5"/>
    <w:lvl w:ilvl="0">
      <w:start w:val="1"/>
      <w:numFmt w:val="decimal"/>
      <w:suff w:val="nothing"/>
      <w:lvlText w:val="%1．"/>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1"/>
  <w:drawingGridHorizontalSpacing w:val="105"/>
  <w:drawingGridVerticalSpacing w:val="156"/>
  <w:noPunctuationKerning/>
  <w:characterSpacingControl w:val="compressPunctuation"/>
  <w:hdrShapeDefaults>
    <o:shapedefaults v:ext="edit" spidmax="1945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Y0MGFiYmJmNTlhZjhhNmU2OWIzMWUzOTU2Njg5YjMifQ=="/>
  </w:docVars>
  <w:rsids>
    <w:rsidRoot w:val="00F1361C"/>
    <w:rsid w:val="9E3A10E2"/>
    <w:rsid w:val="F2E1F9D4"/>
    <w:rsid w:val="F7880819"/>
    <w:rsid w:val="000222C6"/>
    <w:rsid w:val="0002549F"/>
    <w:rsid w:val="000415F0"/>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019"/>
    <w:rsid w:val="001F7506"/>
    <w:rsid w:val="002006CD"/>
    <w:rsid w:val="00202B36"/>
    <w:rsid w:val="00204B7A"/>
    <w:rsid w:val="00204CDE"/>
    <w:rsid w:val="0021101A"/>
    <w:rsid w:val="00220536"/>
    <w:rsid w:val="00235629"/>
    <w:rsid w:val="00244E01"/>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06E6A"/>
    <w:rsid w:val="00512FDA"/>
    <w:rsid w:val="00520DA0"/>
    <w:rsid w:val="005664BB"/>
    <w:rsid w:val="00566FFA"/>
    <w:rsid w:val="0057481D"/>
    <w:rsid w:val="00584395"/>
    <w:rsid w:val="0058486E"/>
    <w:rsid w:val="00585B33"/>
    <w:rsid w:val="0059014D"/>
    <w:rsid w:val="005B1B5F"/>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2BEE"/>
    <w:rsid w:val="007416B6"/>
    <w:rsid w:val="00746F48"/>
    <w:rsid w:val="0075404D"/>
    <w:rsid w:val="0076182A"/>
    <w:rsid w:val="00767B7E"/>
    <w:rsid w:val="007770C3"/>
    <w:rsid w:val="00784D24"/>
    <w:rsid w:val="00785FBA"/>
    <w:rsid w:val="00786E4A"/>
    <w:rsid w:val="007875EB"/>
    <w:rsid w:val="0079426B"/>
    <w:rsid w:val="007D1682"/>
    <w:rsid w:val="007D1E39"/>
    <w:rsid w:val="007D312A"/>
    <w:rsid w:val="007D3F19"/>
    <w:rsid w:val="007D553F"/>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DE8"/>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4726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1ED8"/>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47E9"/>
    <w:rsid w:val="00B944D6"/>
    <w:rsid w:val="00BB4DF0"/>
    <w:rsid w:val="00BC289F"/>
    <w:rsid w:val="00BC2D50"/>
    <w:rsid w:val="00BC5361"/>
    <w:rsid w:val="00BC5460"/>
    <w:rsid w:val="00BC6B50"/>
    <w:rsid w:val="00BD0E25"/>
    <w:rsid w:val="00BD5564"/>
    <w:rsid w:val="00BF5BD6"/>
    <w:rsid w:val="00C022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06EC"/>
    <w:rsid w:val="00D254F7"/>
    <w:rsid w:val="00D26091"/>
    <w:rsid w:val="00D2685C"/>
    <w:rsid w:val="00D34E7C"/>
    <w:rsid w:val="00D35489"/>
    <w:rsid w:val="00D36AFE"/>
    <w:rsid w:val="00D51276"/>
    <w:rsid w:val="00D7035F"/>
    <w:rsid w:val="00D80712"/>
    <w:rsid w:val="00DA31EC"/>
    <w:rsid w:val="00DA634F"/>
    <w:rsid w:val="00DA65AC"/>
    <w:rsid w:val="00DB1913"/>
    <w:rsid w:val="00DC410D"/>
    <w:rsid w:val="00DC5A81"/>
    <w:rsid w:val="00DC68CA"/>
    <w:rsid w:val="00DC7CBA"/>
    <w:rsid w:val="00DD73B7"/>
    <w:rsid w:val="00DF28BC"/>
    <w:rsid w:val="00DF2D47"/>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579D"/>
    <w:rsid w:val="00FA23E8"/>
    <w:rsid w:val="00FD067F"/>
    <w:rsid w:val="00FD3CC1"/>
    <w:rsid w:val="00FE610E"/>
    <w:rsid w:val="00FF1E02"/>
    <w:rsid w:val="00FF30B4"/>
    <w:rsid w:val="053E09D3"/>
    <w:rsid w:val="07F91A4C"/>
    <w:rsid w:val="0A2032A3"/>
    <w:rsid w:val="0B8A37D8"/>
    <w:rsid w:val="0BC94CBE"/>
    <w:rsid w:val="10C055FF"/>
    <w:rsid w:val="118107EC"/>
    <w:rsid w:val="11DD6519"/>
    <w:rsid w:val="16BB723D"/>
    <w:rsid w:val="18015F3F"/>
    <w:rsid w:val="192C61E4"/>
    <w:rsid w:val="1AF5570C"/>
    <w:rsid w:val="1BE8440E"/>
    <w:rsid w:val="1C8822E6"/>
    <w:rsid w:val="1D155CEE"/>
    <w:rsid w:val="1EBB0E34"/>
    <w:rsid w:val="1F4978D9"/>
    <w:rsid w:val="1F9D1E9F"/>
    <w:rsid w:val="20F57F95"/>
    <w:rsid w:val="21735549"/>
    <w:rsid w:val="240371BF"/>
    <w:rsid w:val="25C741E6"/>
    <w:rsid w:val="27842671"/>
    <w:rsid w:val="283F446A"/>
    <w:rsid w:val="29224BC0"/>
    <w:rsid w:val="29FD04D3"/>
    <w:rsid w:val="2ABE7A3E"/>
    <w:rsid w:val="2CC43A00"/>
    <w:rsid w:val="2E430CDB"/>
    <w:rsid w:val="2EFA178C"/>
    <w:rsid w:val="306C6018"/>
    <w:rsid w:val="30B46D73"/>
    <w:rsid w:val="3114195C"/>
    <w:rsid w:val="319F7F4E"/>
    <w:rsid w:val="33C32D21"/>
    <w:rsid w:val="359B45F6"/>
    <w:rsid w:val="36E81FD6"/>
    <w:rsid w:val="39AE70AB"/>
    <w:rsid w:val="3C0C0783"/>
    <w:rsid w:val="3F9F3A96"/>
    <w:rsid w:val="3FD457E9"/>
    <w:rsid w:val="42EB2EC8"/>
    <w:rsid w:val="493C27E9"/>
    <w:rsid w:val="496F39ED"/>
    <w:rsid w:val="49FF41D3"/>
    <w:rsid w:val="4A71519E"/>
    <w:rsid w:val="4BC754CE"/>
    <w:rsid w:val="4BE068DB"/>
    <w:rsid w:val="4BF6002B"/>
    <w:rsid w:val="4CEF4524"/>
    <w:rsid w:val="4ECE2238"/>
    <w:rsid w:val="51DB4B86"/>
    <w:rsid w:val="55333C3E"/>
    <w:rsid w:val="58753080"/>
    <w:rsid w:val="60A14E90"/>
    <w:rsid w:val="61500EA9"/>
    <w:rsid w:val="64CA39A1"/>
    <w:rsid w:val="67072FB9"/>
    <w:rsid w:val="6A2F5BEC"/>
    <w:rsid w:val="6B4158B8"/>
    <w:rsid w:val="6C4A05C8"/>
    <w:rsid w:val="72734D90"/>
    <w:rsid w:val="74A2369E"/>
    <w:rsid w:val="792E38BA"/>
    <w:rsid w:val="79E7B28D"/>
    <w:rsid w:val="7C18217D"/>
    <w:rsid w:val="7D54300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415F0"/>
    <w:pPr>
      <w:widowControl w:val="0"/>
      <w:jc w:val="both"/>
    </w:pPr>
    <w:rPr>
      <w:kern w:val="2"/>
      <w:sz w:val="21"/>
      <w:szCs w:val="24"/>
    </w:rPr>
  </w:style>
  <w:style w:type="paragraph" w:styleId="1">
    <w:name w:val="heading 1"/>
    <w:basedOn w:val="a"/>
    <w:next w:val="a"/>
    <w:link w:val="1Char"/>
    <w:uiPriority w:val="9"/>
    <w:qFormat/>
    <w:rsid w:val="000415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415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15F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415F0"/>
    <w:pPr>
      <w:spacing w:beforeLines="30"/>
    </w:pPr>
    <w:rPr>
      <w:rFonts w:ascii="仿宋_GB2312" w:eastAsia="仿宋_GB2312"/>
      <w:kern w:val="0"/>
      <w:sz w:val="30"/>
    </w:rPr>
  </w:style>
  <w:style w:type="paragraph" w:styleId="30">
    <w:name w:val="toc 3"/>
    <w:basedOn w:val="a"/>
    <w:next w:val="a"/>
    <w:uiPriority w:val="39"/>
    <w:unhideWhenUsed/>
    <w:qFormat/>
    <w:rsid w:val="000415F0"/>
    <w:pPr>
      <w:tabs>
        <w:tab w:val="right" w:leader="dot" w:pos="8296"/>
      </w:tabs>
      <w:ind w:leftChars="400" w:left="840"/>
    </w:pPr>
  </w:style>
  <w:style w:type="paragraph" w:styleId="a4">
    <w:name w:val="Balloon Text"/>
    <w:basedOn w:val="a"/>
    <w:link w:val="Char0"/>
    <w:uiPriority w:val="99"/>
    <w:semiHidden/>
    <w:unhideWhenUsed/>
    <w:qFormat/>
    <w:rsid w:val="000415F0"/>
    <w:rPr>
      <w:sz w:val="18"/>
      <w:szCs w:val="18"/>
    </w:rPr>
  </w:style>
  <w:style w:type="paragraph" w:styleId="a5">
    <w:name w:val="footer"/>
    <w:basedOn w:val="a"/>
    <w:link w:val="Char1"/>
    <w:uiPriority w:val="99"/>
    <w:qFormat/>
    <w:rsid w:val="000415F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415F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415F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415F0"/>
    <w:pPr>
      <w:tabs>
        <w:tab w:val="right" w:leader="dot" w:pos="8296"/>
      </w:tabs>
      <w:ind w:leftChars="200" w:left="420"/>
    </w:pPr>
  </w:style>
  <w:style w:type="character" w:styleId="a7">
    <w:name w:val="Strong"/>
    <w:basedOn w:val="a1"/>
    <w:uiPriority w:val="99"/>
    <w:qFormat/>
    <w:rsid w:val="000415F0"/>
    <w:rPr>
      <w:b/>
    </w:rPr>
  </w:style>
  <w:style w:type="character" w:styleId="a8">
    <w:name w:val="Hyperlink"/>
    <w:basedOn w:val="a1"/>
    <w:uiPriority w:val="99"/>
    <w:unhideWhenUsed/>
    <w:qFormat/>
    <w:rsid w:val="000415F0"/>
    <w:rPr>
      <w:color w:val="0000FF" w:themeColor="hyperlink"/>
      <w:u w:val="single"/>
    </w:rPr>
  </w:style>
  <w:style w:type="character" w:customStyle="1" w:styleId="HeaderChar">
    <w:name w:val="Header Char"/>
    <w:basedOn w:val="a1"/>
    <w:uiPriority w:val="99"/>
    <w:semiHidden/>
    <w:qFormat/>
    <w:rsid w:val="000415F0"/>
    <w:rPr>
      <w:rFonts w:ascii="Times New Roman" w:hAnsi="Times New Roman"/>
      <w:sz w:val="18"/>
      <w:szCs w:val="18"/>
    </w:rPr>
  </w:style>
  <w:style w:type="character" w:customStyle="1" w:styleId="Char2">
    <w:name w:val="页眉 Char"/>
    <w:link w:val="a6"/>
    <w:uiPriority w:val="99"/>
    <w:semiHidden/>
    <w:qFormat/>
    <w:locked/>
    <w:rsid w:val="000415F0"/>
    <w:rPr>
      <w:sz w:val="18"/>
    </w:rPr>
  </w:style>
  <w:style w:type="character" w:customStyle="1" w:styleId="FooterChar">
    <w:name w:val="Footer Char"/>
    <w:basedOn w:val="a1"/>
    <w:uiPriority w:val="99"/>
    <w:semiHidden/>
    <w:qFormat/>
    <w:rsid w:val="000415F0"/>
    <w:rPr>
      <w:rFonts w:ascii="Times New Roman" w:hAnsi="Times New Roman"/>
      <w:sz w:val="18"/>
      <w:szCs w:val="18"/>
    </w:rPr>
  </w:style>
  <w:style w:type="character" w:customStyle="1" w:styleId="Char1">
    <w:name w:val="页脚 Char"/>
    <w:link w:val="a5"/>
    <w:uiPriority w:val="99"/>
    <w:qFormat/>
    <w:locked/>
    <w:rsid w:val="000415F0"/>
    <w:rPr>
      <w:sz w:val="18"/>
    </w:rPr>
  </w:style>
  <w:style w:type="character" w:customStyle="1" w:styleId="BodyTextChar">
    <w:name w:val="Body Text Char"/>
    <w:basedOn w:val="a1"/>
    <w:uiPriority w:val="99"/>
    <w:semiHidden/>
    <w:qFormat/>
    <w:rsid w:val="000415F0"/>
    <w:rPr>
      <w:rFonts w:ascii="Times New Roman" w:hAnsi="Times New Roman"/>
      <w:szCs w:val="24"/>
    </w:rPr>
  </w:style>
  <w:style w:type="character" w:customStyle="1" w:styleId="Char">
    <w:name w:val="正文文本 Char"/>
    <w:link w:val="a0"/>
    <w:uiPriority w:val="99"/>
    <w:qFormat/>
    <w:locked/>
    <w:rsid w:val="000415F0"/>
    <w:rPr>
      <w:rFonts w:ascii="仿宋_GB2312" w:eastAsia="仿宋_GB2312" w:hAnsi="Times New Roman"/>
      <w:sz w:val="24"/>
    </w:rPr>
  </w:style>
  <w:style w:type="paragraph" w:customStyle="1" w:styleId="Default">
    <w:name w:val="Default"/>
    <w:uiPriority w:val="99"/>
    <w:qFormat/>
    <w:rsid w:val="000415F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0415F0"/>
    <w:pPr>
      <w:ind w:firstLineChars="200" w:firstLine="420"/>
    </w:pPr>
  </w:style>
  <w:style w:type="character" w:customStyle="1" w:styleId="1Char">
    <w:name w:val="标题 1 Char"/>
    <w:basedOn w:val="a1"/>
    <w:link w:val="1"/>
    <w:uiPriority w:val="9"/>
    <w:qFormat/>
    <w:rsid w:val="000415F0"/>
    <w:rPr>
      <w:rFonts w:ascii="Times New Roman" w:hAnsi="Times New Roman"/>
      <w:b/>
      <w:bCs/>
      <w:kern w:val="44"/>
      <w:sz w:val="44"/>
      <w:szCs w:val="44"/>
    </w:rPr>
  </w:style>
  <w:style w:type="character" w:customStyle="1" w:styleId="2Char">
    <w:name w:val="标题 2 Char"/>
    <w:basedOn w:val="a1"/>
    <w:link w:val="2"/>
    <w:uiPriority w:val="9"/>
    <w:qFormat/>
    <w:rsid w:val="000415F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415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0415F0"/>
    <w:rPr>
      <w:rFonts w:ascii="Times New Roman" w:hAnsi="Times New Roman"/>
      <w:kern w:val="2"/>
      <w:sz w:val="18"/>
      <w:szCs w:val="18"/>
    </w:rPr>
  </w:style>
  <w:style w:type="character" w:customStyle="1" w:styleId="3Char">
    <w:name w:val="标题 3 Char"/>
    <w:basedOn w:val="a1"/>
    <w:link w:val="3"/>
    <w:uiPriority w:val="9"/>
    <w:qFormat/>
    <w:rsid w:val="000415F0"/>
    <w:rPr>
      <w:rFonts w:ascii="Times New Roman" w:hAnsi="Times New Roman"/>
      <w:b/>
      <w:bCs/>
      <w:kern w:val="2"/>
      <w:sz w:val="32"/>
      <w:szCs w:val="32"/>
    </w:rPr>
  </w:style>
  <w:style w:type="paragraph" w:customStyle="1" w:styleId="TOC2">
    <w:name w:val="TOC 标题2"/>
    <w:basedOn w:val="1"/>
    <w:next w:val="a"/>
    <w:uiPriority w:val="39"/>
    <w:unhideWhenUsed/>
    <w:qFormat/>
    <w:rsid w:val="000415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45984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j-ea"/>
                <a:ea typeface="+mj-ea"/>
                <a:cs typeface="+mj-ea"/>
                <a:sym typeface="+mj-ea"/>
              </a:defRPr>
            </a:pPr>
            <a:r>
              <a:rPr b="1">
                <a:latin typeface="+mj-ea"/>
                <a:ea typeface="+mj-ea"/>
                <a:cs typeface="+mj-ea"/>
                <a:sym typeface="+mj-ea"/>
              </a:rPr>
              <a:t>收、支决算总计变动情况图（单位：万元）</a:t>
            </a:r>
          </a:p>
        </c:rich>
      </c:tx>
      <c:layout/>
      <c:spPr>
        <a:noFill/>
        <a:ln>
          <a:noFill/>
        </a:ln>
        <a:effectLst/>
      </c:spPr>
    </c:title>
    <c:plotArea>
      <c:layout>
        <c:manualLayout>
          <c:layoutTarget val="inner"/>
          <c:xMode val="edge"/>
          <c:yMode val="edge"/>
          <c:x val="0.11794453507340918"/>
          <c:y val="0.1899921813917127"/>
          <c:w val="0.87797716150081662"/>
          <c:h val="0.6660281469898377"/>
        </c:manualLayout>
      </c:layout>
      <c:barChart>
        <c:barDir val="col"/>
        <c:grouping val="clustered"/>
        <c:ser>
          <c:idx val="0"/>
          <c:order val="0"/>
          <c:tx>
            <c:strRef>
              <c:f>Sheet1!$B$1</c:f>
              <c:strCache>
                <c:ptCount val="1"/>
                <c:pt idx="0">
                  <c:v>2020</c:v>
                </c:pt>
              </c:strCache>
            </c:strRef>
          </c:tx>
          <c:spPr>
            <a:solidFill>
              <a:schemeClr val="accent1"/>
            </a:solidFill>
            <a:ln>
              <a:noFill/>
            </a:ln>
            <a:effectLst/>
          </c:spPr>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r>
                      <a:rPr lang="en-US" altLang="zh-CN" b="0">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rPr>
                      <a:t>510.97</a:t>
                    </a:r>
                  </a:p>
                </c:rich>
              </c:tx>
              <c:spPr>
                <a:noFill/>
                <a:ln>
                  <a:noFill/>
                </a:ln>
                <a:effectLst/>
              </c:spPr>
              <c:dLblPos val="in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510.96999999999969</c:v>
                </c:pt>
                <c:pt idx="1">
                  <c:v>511.45</c:v>
                </c:pt>
              </c:numCache>
            </c:numRef>
          </c:val>
        </c:ser>
        <c:ser>
          <c:idx val="1"/>
          <c:order val="1"/>
          <c:tx>
            <c:strRef>
              <c:f>Sheet1!$C$1</c:f>
              <c:strCache>
                <c:ptCount val="1"/>
                <c:pt idx="0">
                  <c:v>2021</c:v>
                </c:pt>
              </c:strCache>
            </c:strRef>
          </c:tx>
          <c:spPr>
            <a:solidFill>
              <a:schemeClr val="accent2"/>
            </a:solidFill>
            <a:ln>
              <a:noFill/>
            </a:ln>
            <a:effectLst/>
          </c:spPr>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r>
                      <a:rPr lang="en-US" altLang="zh-CN">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rPr>
                      <a:t>733.54</a:t>
                    </a:r>
                  </a:p>
                </c:rich>
              </c:tx>
              <c:spPr>
                <a:noFill/>
                <a:ln>
                  <a:noFill/>
                </a:ln>
                <a:effectLst/>
              </c:spPr>
              <c:dLblPos val="in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733.54</c:v>
                </c:pt>
                <c:pt idx="1">
                  <c:v>733.14</c:v>
                </c:pt>
              </c:numCache>
            </c:numRef>
          </c:val>
        </c:ser>
        <c:ser>
          <c:idx val="2"/>
          <c:order val="2"/>
          <c:tx>
            <c:strRef>
              <c:f>Sheet1!#REF!</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ser>
        <c:dLbls>
          <c:showVal val="1"/>
        </c:dLbls>
        <c:gapWidth val="219"/>
        <c:overlap val="-27"/>
        <c:axId val="54010240"/>
        <c:axId val="54011776"/>
      </c:barChart>
      <c:catAx>
        <c:axId val="5401024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crossAx val="54011776"/>
        <c:crosses val="autoZero"/>
        <c:auto val="1"/>
        <c:lblAlgn val="ctr"/>
        <c:lblOffset val="100"/>
      </c:catAx>
      <c:valAx>
        <c:axId val="54011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crossAx val="54010240"/>
        <c:crosses val="autoZero"/>
        <c:crossBetween val="between"/>
      </c:valAx>
      <c:spPr>
        <a:noFill/>
        <a:ln>
          <a:noFill/>
        </a:ln>
        <a:effectLst/>
      </c:spPr>
    </c:plotArea>
    <c:legend>
      <c:legendPos val="b"/>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legendEntry>
      <c:legendEntry>
        <c:idx val="2"/>
        <c:delete val="1"/>
      </c:legendEntry>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legendEntry>
      <c:layout>
        <c:manualLayout>
          <c:xMode val="edge"/>
          <c:yMode val="edge"/>
          <c:x val="0.42638662316476483"/>
          <c:y val="0.1186473807662241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spPr>
        <a:noFill/>
        <a:ln>
          <a:noFill/>
        </a:ln>
        <a:effectLst/>
      </c:spPr>
    </c:title>
    <c:plotArea>
      <c:layout/>
      <c:pieChart>
        <c:varyColors val="1"/>
        <c:ser>
          <c:idx val="0"/>
          <c:order val="0"/>
          <c:tx>
            <c:strRef>
              <c:f>Sheet1!$B$1</c:f>
              <c:strCache>
                <c:ptCount val="1"/>
                <c:pt idx="0">
                  <c:v>支出决算情况</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tx>
                <c:rich>
                  <a:bodyPr/>
                  <a:lstStyle/>
                  <a:p>
                    <a:r>
                      <a:t>99.9</a:t>
                    </a:r>
                    <a:r>
                      <a:rPr lang="en-US" altLang="zh-CN"/>
                      <a:t>17</a:t>
                    </a:r>
                    <a:r>
                      <a:t>%</a:t>
                    </a:r>
                  </a:p>
                </c:rich>
              </c:tx>
              <c:dLblPos val="ctr"/>
              <c:showPercent val="1"/>
              <c:extLst>
                <c:ext xmlns:c15="http://schemas.microsoft.com/office/drawing/2012/chart" uri="{CE6537A1-D6FC-4f65-9D91-7224C49458BB}"/>
              </c:extLst>
            </c:dLbl>
            <c:dLbl>
              <c:idx val="1"/>
              <c:layout/>
              <c:tx>
                <c:rich>
                  <a:bodyPr/>
                  <a:lstStyle/>
                  <a:p>
                    <a:r>
                      <a:t>0.0</a:t>
                    </a:r>
                    <a:r>
                      <a:rPr lang="en-US" altLang="zh-CN"/>
                      <a:t>83</a:t>
                    </a:r>
                    <a:r>
                      <a:t>%</a:t>
                    </a:r>
                  </a:p>
                </c:rich>
              </c:tx>
              <c:dLblPos val="ctr"/>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c:v>
                </c:pt>
                <c:pt idx="1">
                  <c:v>其他收入</c:v>
                </c:pt>
              </c:strCache>
            </c:strRef>
          </c:cat>
          <c:val>
            <c:numRef>
              <c:f>Sheet1!$B$2:$B$3</c:f>
              <c:numCache>
                <c:formatCode>General</c:formatCode>
                <c:ptCount val="2"/>
                <c:pt idx="0">
                  <c:v>99.917000000000186</c:v>
                </c:pt>
                <c:pt idx="1">
                  <c:v>8.3000000000000046E-2</c:v>
                </c:pt>
              </c:numCache>
            </c:numRef>
          </c:val>
        </c:ser>
        <c:dLbls>
          <c:showPercent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920" b="1" i="0" u="none" strike="noStrike" kern="1200" spc="0" baseline="0">
              <a:solidFill>
                <a:schemeClr val="tx1">
                  <a:lumMod val="65000"/>
                  <a:lumOff val="35000"/>
                </a:schemeClr>
              </a:solidFill>
              <a:latin typeface="+mj-ea"/>
              <a:ea typeface="+mj-ea"/>
              <a:cs typeface="+mj-ea"/>
              <a:sym typeface="+mj-ea"/>
            </a:defRPr>
          </a:pPr>
          <a:endParaRPr lang="zh-CN"/>
        </a:p>
      </c:txPr>
    </c:title>
    <c:plotArea>
      <c:layout/>
      <c:pieChart>
        <c:varyColors val="1"/>
        <c:ser>
          <c:idx val="0"/>
          <c:order val="0"/>
          <c:tx>
            <c:strRef>
              <c:f>Sheet1!$B$1</c:f>
              <c:strCache>
                <c:ptCount val="1"/>
                <c:pt idx="0">
                  <c:v>支出决算结构图</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tx>
                <c:rich>
                  <a:bodyPr/>
                  <a:lstStyle/>
                  <a:p>
                    <a:r>
                      <a:t>9</a:t>
                    </a:r>
                    <a:r>
                      <a:rPr lang="en-US" altLang="zh-CN"/>
                      <a:t>2.85</a:t>
                    </a:r>
                    <a:r>
                      <a:t>%</a:t>
                    </a:r>
                  </a:p>
                </c:rich>
              </c:tx>
              <c:dLblPos val="ctr"/>
              <c:showPercent val="1"/>
              <c:extLst>
                <c:ext xmlns:c15="http://schemas.microsoft.com/office/drawing/2012/chart" uri="{CE6537A1-D6FC-4f65-9D91-7224C49458BB}"/>
              </c:extLst>
            </c:dLbl>
            <c:dLbl>
              <c:idx val="1"/>
              <c:tx>
                <c:rich>
                  <a:bodyPr/>
                  <a:lstStyle/>
                  <a:p>
                    <a:r>
                      <a:t>7</a:t>
                    </a:r>
                    <a:r>
                      <a:rPr lang="en-US" altLang="zh-CN"/>
                      <a:t>.15</a:t>
                    </a:r>
                    <a:r>
                      <a:t>%</a:t>
                    </a:r>
                  </a:p>
                </c:rich>
              </c:tx>
              <c:dLblPos val="ctr"/>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0.92849999999999999</c:v>
                </c:pt>
                <c:pt idx="1">
                  <c:v>7.1500000000000008E-2</c:v>
                </c:pt>
              </c:numCache>
            </c:numRef>
          </c:val>
        </c:ser>
        <c:dLbls>
          <c:showPercent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endParaRPr lang="zh-CN"/>
          </a:p>
        </c:txPr>
      </c:legendEntry>
      <c:spPr>
        <a:noFill/>
        <a:ln>
          <a:noFill/>
        </a:ln>
        <a:effectLst/>
      </c:spPr>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sz="1600"/>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r>
              <a:rPr b="0">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rPr>
              <a:t>财政拨款收、支决算总计变动情况图（单位：万元）</a:t>
            </a:r>
          </a:p>
        </c:rich>
      </c:tx>
      <c:layout>
        <c:manualLayout>
          <c:xMode val="edge"/>
          <c:yMode val="edge"/>
          <c:x val="0.17248814144027658"/>
          <c:y val="3.9618041446566422E-2"/>
        </c:manualLayout>
      </c:layout>
      <c:spPr>
        <a:noFill/>
        <a:ln>
          <a:noFill/>
        </a:ln>
        <a:effectLst/>
      </c:spPr>
    </c:title>
    <c:plotArea>
      <c:layout>
        <c:manualLayout>
          <c:layoutTarget val="inner"/>
          <c:xMode val="edge"/>
          <c:yMode val="edge"/>
          <c:x val="0.11471038242140402"/>
          <c:y val="0.19321414059325537"/>
          <c:w val="0.87797716150081662"/>
          <c:h val="0.6660281469898377"/>
        </c:manualLayout>
      </c:layout>
      <c:barChart>
        <c:barDir val="col"/>
        <c:grouping val="clustered"/>
        <c:ser>
          <c:idx val="0"/>
          <c:order val="0"/>
          <c:tx>
            <c:strRef>
              <c:f>Sheet1!$B$1</c:f>
              <c:strCache>
                <c:ptCount val="1"/>
                <c:pt idx="0">
                  <c:v>2020</c:v>
                </c:pt>
              </c:strCache>
            </c:strRef>
          </c:tx>
          <c:spPr>
            <a:solidFill>
              <a:schemeClr val="accent1"/>
            </a:solidFill>
            <a:ln>
              <a:noFill/>
            </a:ln>
            <a:effectLst/>
          </c:spPr>
          <c:dLbls>
            <c:dLbl>
              <c:idx val="0"/>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r>
                      <a:rPr lang="en-US" altLang="zh-CN">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rPr>
                      <a:t>659.16</a:t>
                    </a:r>
                  </a:p>
                </c:rich>
              </c:tx>
              <c:spPr>
                <a:noFill/>
                <a:ln>
                  <a:noFill/>
                </a:ln>
                <a:effectLst/>
              </c:spPr>
              <c:dLblPos val="in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extLst>
                <c:ext xmlns:c15="http://schemas.microsoft.com/office/drawing/2012/chart" uri="{02D57815-91ED-43cb-92C2-25804820EDAC}">
                  <c15:fullRef>
                    <c15:sqref>Sheet1!$A$2:$A$3</c15:sqref>
                  </c15:fullRef>
                </c:ext>
              </c:extLst>
            </c:strRef>
          </c:cat>
          <c:val>
            <c:numRef>
              <c:f>Sheet1!$B$2:$B$3</c:f>
              <c:numCache>
                <c:formatCode>General</c:formatCode>
                <c:ptCount val="2"/>
                <c:pt idx="0">
                  <c:v>659.16</c:v>
                </c:pt>
                <c:pt idx="1">
                  <c:v>659.16</c:v>
                </c:pt>
              </c:numCache>
              <c:extLst>
                <c:ext xmlns:c15="http://schemas.microsoft.com/office/drawing/2012/chart" uri="{02D57815-91ED-43cb-92C2-25804820EDAC}">
                  <c15:fullRef>
                    <c15:sqref>Sheet1!$B$2:$B$3</c15:sqref>
                  </c15:fullRef>
                </c:ext>
              </c:extLst>
            </c:numRef>
          </c:val>
        </c:ser>
        <c:ser>
          <c:idx val="1"/>
          <c:order val="1"/>
          <c:tx>
            <c:strRef>
              <c:f>Sheet1!$C$1</c:f>
              <c:strCache>
                <c:ptCount val="1"/>
                <c:pt idx="0">
                  <c:v>2021</c:v>
                </c:pt>
              </c:strCache>
            </c:strRef>
          </c:tx>
          <c:spPr>
            <a:solidFill>
              <a:schemeClr val="accent2"/>
            </a:solidFill>
            <a:ln>
              <a:noFill/>
            </a:ln>
            <a:effectLst/>
          </c:spPr>
          <c:dLbls>
            <c:dLbl>
              <c:idx val="0"/>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r>
                      <a:rPr lang="en-US" altLang="zh-CN">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rPr>
                      <a:t>755.19</a:t>
                    </a:r>
                  </a:p>
                </c:rich>
              </c:tx>
              <c:spPr>
                <a:noFill/>
                <a:ln>
                  <a:noFill/>
                </a:ln>
                <a:effectLst/>
              </c:spPr>
              <c:dLblPos val="in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extLst>
                <c:ext xmlns:c15="http://schemas.microsoft.com/office/drawing/2012/chart" uri="{02D57815-91ED-43cb-92C2-25804820EDAC}">
                  <c15:fullRef>
                    <c15:sqref>Sheet1!$A$2:$A$3</c15:sqref>
                  </c15:fullRef>
                </c:ext>
              </c:extLst>
            </c:strRef>
          </c:cat>
          <c:val>
            <c:numRef>
              <c:f>Sheet1!$C$2:$C$3</c:f>
              <c:numCache>
                <c:formatCode>General</c:formatCode>
                <c:ptCount val="2"/>
                <c:pt idx="0">
                  <c:v>755.19</c:v>
                </c:pt>
                <c:pt idx="1">
                  <c:v>755.19</c:v>
                </c:pt>
              </c:numCache>
              <c:extLst>
                <c:ext xmlns:c15="http://schemas.microsoft.com/office/drawing/2012/chart" uri="{02D57815-91ED-43cb-92C2-25804820EDAC}">
                  <c15:fullRef>
                    <c15:sqref>Sheet1!$C$2:$C$3</c15:sqref>
                  </c15:fullRef>
                </c:ext>
              </c:extLst>
            </c:numRef>
          </c:val>
        </c:ser>
        <c:ser>
          <c:idx val="2"/>
          <c:order val="2"/>
          <c:tx>
            <c:strRef>
              <c:f>Sheet1!#REF!</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extLst>
                <c:ext xmlns:c15="http://schemas.microsoft.com/office/drawing/2012/chart" uri="{02D57815-91ED-43cb-92C2-25804820EDAC}">
                  <c15:fullRef>
                    <c15:sqref>Sheet1!$A$2:$A$3</c15:sqref>
                  </c15:fullRef>
                </c:ext>
              </c:extLst>
            </c:strRef>
          </c:cat>
        </c:ser>
        <c:dLbls>
          <c:showVal val="1"/>
        </c:dLbls>
        <c:gapWidth val="219"/>
        <c:overlap val="-27"/>
        <c:axId val="54441088"/>
        <c:axId val="54442624"/>
      </c:barChart>
      <c:catAx>
        <c:axId val="5444108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crossAx val="54442624"/>
        <c:crosses val="autoZero"/>
        <c:auto val="1"/>
        <c:lblAlgn val="ctr"/>
        <c:lblOffset val="100"/>
      </c:catAx>
      <c:valAx>
        <c:axId val="54442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crossAx val="5444108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legendEntry>
      <c:legendEntry>
        <c:idx val="2"/>
        <c:delete val="1"/>
      </c:legendEntry>
      <c:layout>
        <c:manualLayout>
          <c:xMode val="edge"/>
          <c:yMode val="edge"/>
          <c:x val="0.42638662316476483"/>
          <c:y val="0.11864738076622409"/>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latin typeface="方正粗黑宋简体" panose="02000000000000000000" charset="-122"/>
          <a:ea typeface="方正粗黑宋简体" panose="02000000000000000000" charset="-122"/>
          <a:cs typeface="方正粗黑宋简体" panose="02000000000000000000" charset="-122"/>
          <a:sym typeface="方正粗黑宋简体" panose="02000000000000000000"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j-ea"/>
                <a:ea typeface="+mj-ea"/>
                <a:cs typeface="+mj-ea"/>
                <a:sym typeface="+mj-ea"/>
              </a:defRPr>
            </a:pPr>
            <a:r>
              <a:rPr b="1">
                <a:cs typeface="+mj-ea"/>
                <a:sym typeface="+mj-ea"/>
              </a:rPr>
              <a:t>一般公共预算财政拨款支出决算变动情况（单位：万元）</a:t>
            </a:r>
          </a:p>
        </c:rich>
      </c:tx>
      <c:layout>
        <c:manualLayout>
          <c:xMode val="edge"/>
          <c:yMode val="edge"/>
          <c:x val="0.11358904109588999"/>
          <c:y val="1.5072852118573107E-2"/>
        </c:manualLayout>
      </c:layout>
      <c:spPr>
        <a:noFill/>
        <a:ln>
          <a:noFill/>
        </a:ln>
        <a:effectLst/>
      </c:spPr>
    </c:title>
    <c:plotArea>
      <c:layout/>
      <c:barChart>
        <c:barDir val="col"/>
        <c:grouping val="clustered"/>
        <c:ser>
          <c:idx val="0"/>
          <c:order val="0"/>
          <c:tx>
            <c:strRef>
              <c:f>Sheet1!$B$1</c:f>
              <c:strCache>
                <c:ptCount val="1"/>
                <c:pt idx="0">
                  <c:v>2020</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j-ea"/>
                    <a:ea typeface="+mj-ea"/>
                    <a:cs typeface="+mj-ea"/>
                    <a:sym typeface="+mj-ea"/>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c:v>
                </c:pt>
                <c:pt idx="1">
                  <c:v>占比</c:v>
                </c:pt>
              </c:strCache>
              <c:extLst>
                <c:ext xmlns:c15="http://schemas.microsoft.com/office/drawing/2012/chart" uri="{02D57815-91ED-43cb-92C2-25804820EDAC}">
                  <c15:fullRef>
                    <c15:sqref>Sheet1!$A$2:$A$3</c15:sqref>
                  </c15:fullRef>
                </c:ext>
              </c:extLst>
            </c:strRef>
          </c:cat>
          <c:val>
            <c:numRef>
              <c:f>Sheet1!$B$2:$B$3</c:f>
              <c:numCache>
                <c:formatCode>General</c:formatCode>
                <c:ptCount val="2"/>
                <c:pt idx="0">
                  <c:v>0</c:v>
                </c:pt>
                <c:pt idx="1">
                  <c:v>0</c:v>
                </c:pt>
              </c:numCache>
              <c:extLst>
                <c:ext xmlns:c15="http://schemas.microsoft.com/office/drawing/2012/chart" uri="{02D57815-91ED-43cb-92C2-25804820EDAC}">
                  <c15:fullRef>
                    <c15:sqref>Sheet1!$B$2:$B$3</c15:sqref>
                  </c15:fullRef>
                </c:ext>
              </c:extLst>
            </c:numRef>
          </c:val>
        </c:ser>
        <c:ser>
          <c:idx val="1"/>
          <c:order val="1"/>
          <c:tx>
            <c:strRef>
              <c:f>Sheet1!$C$1</c:f>
              <c:strCache>
                <c:ptCount val="1"/>
                <c:pt idx="0">
                  <c:v>2021</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j-ea"/>
                    <a:ea typeface="+mj-ea"/>
                    <a:cs typeface="+mj-ea"/>
                    <a:sym typeface="+mj-ea"/>
                  </a:defRPr>
                </a:pPr>
                <a:endParaRPr lang="zh-CN"/>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c:v>
                </c:pt>
                <c:pt idx="1">
                  <c:v>占比</c:v>
                </c:pt>
              </c:strCache>
              <c:extLst>
                <c:ext xmlns:c15="http://schemas.microsoft.com/office/drawing/2012/chart" uri="{02D57815-91ED-43cb-92C2-25804820EDAC}">
                  <c15:fullRef>
                    <c15:sqref>Sheet1!$A$2:$A$3</c15:sqref>
                  </c15:fullRef>
                </c:ext>
              </c:extLst>
            </c:strRef>
          </c:cat>
          <c:val>
            <c:numRef>
              <c:f>Sheet1!$C$2:$C$3</c:f>
              <c:numCache>
                <c:formatCode>0.00%</c:formatCode>
                <c:ptCount val="2"/>
                <c:pt idx="0" formatCode="General">
                  <c:v>1.78</c:v>
                </c:pt>
                <c:pt idx="1">
                  <c:v>2.4000000000000011E-3</c:v>
                </c:pt>
              </c:numCache>
              <c:extLst>
                <c:ext xmlns:c15="http://schemas.microsoft.com/office/drawing/2012/chart" uri="{02D57815-91ED-43cb-92C2-25804820EDAC}">
                  <c15:fullRef>
                    <c15:sqref>Sheet1!$C$2:$C$3</c15:sqref>
                  </c15:fullRef>
                </c:ext>
              </c:extLst>
            </c:numRef>
          </c:val>
        </c:ser>
        <c:dLbls>
          <c:showVal val="1"/>
        </c:dLbls>
        <c:gapWidth val="219"/>
        <c:overlap val="-27"/>
        <c:axId val="54244096"/>
        <c:axId val="54245632"/>
      </c:barChart>
      <c:catAx>
        <c:axId val="5424409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j-ea"/>
                <a:ea typeface="+mj-ea"/>
                <a:cs typeface="+mj-ea"/>
                <a:sym typeface="+mj-ea"/>
              </a:defRPr>
            </a:pPr>
            <a:endParaRPr lang="zh-CN"/>
          </a:p>
        </c:txPr>
        <c:crossAx val="54245632"/>
        <c:crosses val="autoZero"/>
        <c:auto val="1"/>
        <c:lblAlgn val="ctr"/>
        <c:lblOffset val="100"/>
      </c:catAx>
      <c:valAx>
        <c:axId val="54245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j-ea"/>
                <a:ea typeface="+mj-ea"/>
                <a:cs typeface="+mj-ea"/>
                <a:sym typeface="+mj-ea"/>
              </a:defRPr>
            </a:pPr>
            <a:endParaRPr lang="zh-CN"/>
          </a:p>
        </c:txPr>
        <c:crossAx val="5424409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j-ea"/>
                <a:ea typeface="+mj-ea"/>
                <a:cs typeface="+mj-ea"/>
                <a:sym typeface="+mj-ea"/>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j-ea"/>
                <a:ea typeface="+mj-ea"/>
                <a:cs typeface="+mj-ea"/>
                <a:sym typeface="+mj-ea"/>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j-ea"/>
              <a:ea typeface="+mj-ea"/>
              <a:cs typeface="+mj-ea"/>
              <a:sym typeface="+mj-ea"/>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latin typeface="+mj-ea"/>
          <a:ea typeface="+mj-ea"/>
          <a:cs typeface="+mj-ea"/>
          <a:sym typeface="+mj-ea"/>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一般公共预算财政拨款支出决算结构</a:t>
            </a:r>
          </a:p>
        </c:rich>
      </c:tx>
      <c:layout>
        <c:manualLayout>
          <c:xMode val="edge"/>
          <c:yMode val="edge"/>
          <c:x val="0.230625"/>
          <c:y val="1.5000000000000024E-2"/>
        </c:manualLayout>
      </c:layout>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2.2088701205036004E-2"/>
                  <c:y val="1.3547528047505463E-2"/>
                </c:manualLayout>
              </c:layout>
              <c:tx>
                <c:rich>
                  <a:bodyPr/>
                  <a:lstStyle/>
                  <a:p>
                    <a:r>
                      <a:t>0</a:t>
                    </a:r>
                    <a:r>
                      <a:rPr lang="en-US" altLang="zh-CN"/>
                      <a:t>.24</a:t>
                    </a:r>
                    <a:r>
                      <a:t>%</a:t>
                    </a:r>
                  </a:p>
                </c:rich>
              </c:tx>
              <c:dLblPos val="bestFit"/>
              <c:showPercent val="1"/>
              <c:extLst>
                <c:ext xmlns:c15="http://schemas.microsoft.com/office/drawing/2012/chart" uri="{CE6537A1-D6FC-4f65-9D91-7224C49458BB}">
                  <c15:layout/>
                </c:ext>
              </c:extLst>
            </c:dLbl>
            <c:dLbl>
              <c:idx val="1"/>
              <c:layout>
                <c:manualLayout>
                  <c:x val="-1.9349315809349121E-3"/>
                  <c:y val="1.6051505115720541E-2"/>
                </c:manualLayout>
              </c:layout>
              <c:tx>
                <c:rich>
                  <a:bodyPr/>
                  <a:lstStyle/>
                  <a:p>
                    <a:r>
                      <a:rPr lang="en-US" altLang="zh-CN"/>
                      <a:t>7.61</a:t>
                    </a:r>
                    <a:r>
                      <a:t>%</a:t>
                    </a:r>
                  </a:p>
                </c:rich>
              </c:tx>
              <c:dLblPos val="bestFit"/>
              <c:showPercent val="1"/>
              <c:extLst>
                <c:ext xmlns:c15="http://schemas.microsoft.com/office/drawing/2012/chart" uri="{CE6537A1-D6FC-4f65-9D91-7224C49458BB}">
                  <c15:layout/>
                </c:ext>
              </c:extLst>
            </c:dLbl>
            <c:dLbl>
              <c:idx val="2"/>
              <c:layout/>
              <c:tx>
                <c:rich>
                  <a:bodyPr/>
                  <a:lstStyle/>
                  <a:p>
                    <a:r>
                      <a:rPr lang="en-US" altLang="zh-CN"/>
                      <a:t>5.83</a:t>
                    </a:r>
                    <a:r>
                      <a:t>%</a:t>
                    </a:r>
                  </a:p>
                </c:rich>
              </c:tx>
              <c:dLblPos val="ctr"/>
              <c:showPercent val="1"/>
              <c:extLst>
                <c:ext xmlns:c15="http://schemas.microsoft.com/office/drawing/2012/chart" uri="{CE6537A1-D6FC-4f65-9D91-7224C49458BB}"/>
              </c:extLst>
            </c:dLbl>
            <c:dLbl>
              <c:idx val="3"/>
              <c:layout/>
              <c:tx>
                <c:rich>
                  <a:bodyPr/>
                  <a:lstStyle/>
                  <a:p>
                    <a:r>
                      <a:t>86</a:t>
                    </a:r>
                    <a:r>
                      <a:rPr lang="en-US" altLang="zh-CN"/>
                      <a:t>.32</a:t>
                    </a:r>
                    <a:r>
                      <a:t>%</a:t>
                    </a:r>
                  </a:p>
                </c:rich>
              </c:tx>
              <c:dLblPos val="ctr"/>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住房保障</c:v>
                </c:pt>
                <c:pt idx="3">
                  <c:v>农林水</c:v>
                </c:pt>
              </c:strCache>
            </c:strRef>
          </c:cat>
          <c:val>
            <c:numRef>
              <c:f>Sheet1!$B$2:$B$5</c:f>
              <c:numCache>
                <c:formatCode>0.00%</c:formatCode>
                <c:ptCount val="4"/>
                <c:pt idx="0">
                  <c:v>2.4000000000000011E-3</c:v>
                </c:pt>
                <c:pt idx="1">
                  <c:v>7.6100000000000015E-2</c:v>
                </c:pt>
                <c:pt idx="2">
                  <c:v>5.8300000000000032E-2</c:v>
                </c:pt>
                <c:pt idx="3">
                  <c:v>0.86320000000000063</c:v>
                </c:pt>
              </c:numCache>
            </c:numRef>
          </c:val>
        </c:ser>
        <c:dLbls>
          <c:showPercent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80" b="0" i="0" u="none" strike="noStrike" kern="1200" spc="0" baseline="0">
                <a:solidFill>
                  <a:schemeClr val="tx1">
                    <a:lumMod val="65000"/>
                    <a:lumOff val="35000"/>
                  </a:schemeClr>
                </a:solidFill>
                <a:latin typeface="+mn-lt"/>
                <a:ea typeface="+mn-ea"/>
                <a:cs typeface="+mn-cs"/>
              </a:defRPr>
            </a:pPr>
            <a:r>
              <a:rPr sz="1680" b="1"/>
              <a:t>“三公”经费财政拨款支出结构</a:t>
            </a:r>
          </a:p>
        </c:rich>
      </c:tx>
      <c:layout/>
      <c:spPr>
        <a:noFill/>
        <a:ln>
          <a:noFill/>
        </a:ln>
        <a:effectLst/>
      </c:spPr>
    </c:title>
    <c:plotArea>
      <c:layout/>
      <c:pieChart>
        <c:varyColors val="1"/>
        <c:ser>
          <c:idx val="0"/>
          <c:order val="0"/>
          <c:tx>
            <c:strRef>
              <c:f>Sheet1!$B$1</c:f>
              <c:strCache>
                <c:ptCount val="1"/>
                <c:pt idx="0">
                  <c:v>“三公”经费</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tx>
                <c:rich>
                  <a:bodyPr/>
                  <a:lstStyle/>
                  <a:p>
                    <a:r>
                      <a:rPr lang="en-US" altLang="zh-CN" sz="1400"/>
                      <a:t>99.82</a:t>
                    </a:r>
                  </a:p>
                </c:rich>
              </c:tx>
              <c:dLblPos val="ctr"/>
              <c:showPercent val="1"/>
              <c:extLst>
                <c:ext xmlns:c15="http://schemas.microsoft.com/office/drawing/2012/chart" uri="{CE6537A1-D6FC-4f65-9D91-7224C49458BB}">
                  <c15:layout>
                    <c:manualLayout>
                      <c:w val="0.123989569752282"/>
                      <c:h val="0.0872522347454334"/>
                    </c:manualLayout>
                  </c15:layout>
                </c:ext>
              </c:extLst>
            </c:dLbl>
            <c:dLbl>
              <c:idx val="1"/>
              <c:layout/>
              <c:tx>
                <c:rich>
                  <a:bodyPr/>
                  <a:lstStyle/>
                  <a:p>
                    <a:r>
                      <a:rPr lang="en-US" altLang="zh-CN" sz="1400"/>
                      <a:t>0.18</a:t>
                    </a:r>
                    <a:r>
                      <a:rPr sz="1400"/>
                      <a:t>%</a:t>
                    </a:r>
                  </a:p>
                </c:rich>
              </c:tx>
              <c:dLblPos val="ctr"/>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0.00%</c:formatCode>
                <c:ptCount val="2"/>
                <c:pt idx="0">
                  <c:v>0.99819999999999998</c:v>
                </c:pt>
                <c:pt idx="1">
                  <c:v>1.8000000000000043E-3</c:v>
                </c:pt>
              </c:numCache>
            </c:numRef>
          </c:val>
        </c:ser>
        <c:dLbls>
          <c:showPercent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Entry>
      <c:layout/>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sz="1400"/>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5439</Words>
  <Characters>862</Characters>
  <Application>Microsoft Office Word</Application>
  <DocSecurity>0</DocSecurity>
  <Lines>7</Lines>
  <Paragraphs>12</Paragraphs>
  <ScaleCrop>false</ScaleCrop>
  <Company>四川省财政厅</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韩峰</cp:lastModifiedBy>
  <cp:revision>43</cp:revision>
  <cp:lastPrinted>2022-08-06T02:23:00Z</cp:lastPrinted>
  <dcterms:created xsi:type="dcterms:W3CDTF">2020-08-05T01:49:00Z</dcterms:created>
  <dcterms:modified xsi:type="dcterms:W3CDTF">2023-10-13T01:28:00Z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C6ED08435F94449398E2FD28726B19C5</vt:lpwstr>
  </property>
</Properties>
</file>