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86" w:rsidRDefault="00FF2186">
      <w:pPr>
        <w:spacing w:line="600" w:lineRule="exact"/>
        <w:jc w:val="left"/>
        <w:outlineLvl w:val="0"/>
        <w:rPr>
          <w:rFonts w:ascii="方正小标宋简体" w:eastAsia="方正小标宋简体" w:hAnsi="宋体"/>
          <w:szCs w:val="21"/>
        </w:rPr>
      </w:pPr>
      <w:bookmarkStart w:id="0" w:name="_Toc15306267"/>
    </w:p>
    <w:p w:rsidR="00FF2186" w:rsidRDefault="00FF2186">
      <w:pPr>
        <w:spacing w:line="600" w:lineRule="exact"/>
        <w:jc w:val="center"/>
        <w:outlineLvl w:val="0"/>
        <w:rPr>
          <w:rFonts w:ascii="方正小标宋简体" w:eastAsia="方正小标宋简体" w:hAnsi="宋体"/>
          <w:sz w:val="72"/>
          <w:szCs w:val="72"/>
        </w:rPr>
      </w:pPr>
    </w:p>
    <w:p w:rsidR="00FF2186" w:rsidRDefault="00FF2186">
      <w:pPr>
        <w:spacing w:line="600" w:lineRule="exact"/>
        <w:jc w:val="center"/>
        <w:outlineLvl w:val="0"/>
        <w:rPr>
          <w:rFonts w:ascii="方正小标宋简体" w:eastAsia="方正小标宋简体" w:hAnsi="宋体"/>
          <w:sz w:val="72"/>
          <w:szCs w:val="72"/>
        </w:rPr>
      </w:pPr>
    </w:p>
    <w:p w:rsidR="00FF2186" w:rsidRDefault="00EF30F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7193"/>
      <w:bookmarkStart w:id="3" w:name="_Toc15396475"/>
      <w:bookmarkStart w:id="4" w:name="_Toc15396597"/>
      <w:bookmarkStart w:id="5" w:name="_Toc15378441"/>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FF2186" w:rsidRDefault="00EF30F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77194"/>
      <w:bookmarkStart w:id="9" w:name="_Toc15396476"/>
      <w:bookmarkStart w:id="10" w:name="_Toc15378442"/>
      <w:r>
        <w:rPr>
          <w:rFonts w:ascii="方正小标宋简体" w:eastAsia="方正小标宋简体" w:hAnsi="方正小标宋简体" w:cs="方正小标宋简体" w:hint="eastAsia"/>
          <w:sz w:val="72"/>
          <w:szCs w:val="72"/>
        </w:rPr>
        <w:t>攀枝花市</w:t>
      </w:r>
      <w:bookmarkStart w:id="11" w:name="_Toc15306268"/>
      <w:bookmarkEnd w:id="0"/>
      <w:r>
        <w:rPr>
          <w:rFonts w:ascii="方正小标宋简体" w:eastAsia="方正小标宋简体" w:hAnsi="方正小标宋简体" w:cs="方正小标宋简体" w:hint="eastAsia"/>
          <w:sz w:val="72"/>
          <w:szCs w:val="72"/>
        </w:rPr>
        <w:t>森林</w:t>
      </w:r>
      <w:r>
        <w:rPr>
          <w:rFonts w:ascii="方正小标宋简体" w:eastAsia="方正小标宋简体" w:hAnsi="方正小标宋简体" w:cs="方正小标宋简体"/>
          <w:sz w:val="72"/>
          <w:szCs w:val="72"/>
        </w:rPr>
        <w:t>病虫</w:t>
      </w:r>
      <w:r>
        <w:rPr>
          <w:rFonts w:ascii="方正小标宋简体" w:eastAsia="方正小标宋简体" w:hAnsi="方正小标宋简体" w:cs="方正小标宋简体" w:hint="eastAsia"/>
          <w:sz w:val="72"/>
          <w:szCs w:val="72"/>
        </w:rPr>
        <w:t>防治</w:t>
      </w:r>
    </w:p>
    <w:p w:rsidR="00FF2186" w:rsidRDefault="00EF30F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检疫站单位决算</w:t>
      </w:r>
      <w:bookmarkEnd w:id="6"/>
      <w:bookmarkEnd w:id="7"/>
      <w:bookmarkEnd w:id="8"/>
      <w:bookmarkEnd w:id="9"/>
      <w:bookmarkEnd w:id="10"/>
      <w:bookmarkEnd w:id="11"/>
    </w:p>
    <w:p w:rsidR="00FF2186" w:rsidRDefault="00FF2186">
      <w:pPr>
        <w:widowControl/>
        <w:jc w:val="center"/>
        <w:rPr>
          <w:rFonts w:ascii="黑体" w:eastAsia="黑体" w:hAnsi="黑体"/>
          <w:sz w:val="48"/>
          <w:szCs w:val="48"/>
        </w:rPr>
        <w:sectPr w:rsidR="00FF21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p>
    <w:p w:rsidR="00FF2186" w:rsidRDefault="00EF30F0">
      <w:pPr>
        <w:widowControl/>
        <w:jc w:val="center"/>
        <w:rPr>
          <w:rFonts w:ascii="黑体" w:eastAsia="黑体" w:hAnsi="黑体"/>
          <w:sz w:val="48"/>
          <w:szCs w:val="48"/>
        </w:rPr>
      </w:pPr>
      <w:r>
        <w:rPr>
          <w:rFonts w:ascii="黑体" w:eastAsia="黑体" w:hAnsi="黑体" w:hint="eastAsia"/>
          <w:sz w:val="48"/>
          <w:szCs w:val="48"/>
        </w:rPr>
        <w:lastRenderedPageBreak/>
        <w:t>目录</w:t>
      </w:r>
    </w:p>
    <w:p w:rsidR="00FF2186" w:rsidRDefault="00FF2186">
      <w:pPr>
        <w:widowControl/>
        <w:jc w:val="center"/>
        <w:rPr>
          <w:rFonts w:ascii="黑体" w:eastAsia="黑体" w:hAnsi="黑体" w:cstheme="minorBidi"/>
          <w:sz w:val="28"/>
          <w:szCs w:val="28"/>
        </w:rPr>
      </w:pPr>
    </w:p>
    <w:p w:rsidR="00FF2186" w:rsidRDefault="00EF30F0">
      <w:pPr>
        <w:pStyle w:val="10"/>
      </w:pPr>
      <w:r>
        <w:rPr>
          <w:rFonts w:hint="eastAsia"/>
        </w:rPr>
        <w:t>公开时间：2023年9月</w:t>
      </w:r>
      <w:r>
        <w:t>1</w:t>
      </w:r>
      <w:r w:rsidR="00917437">
        <w:rPr>
          <w:rFonts w:hint="eastAsia"/>
        </w:rPr>
        <w:t>5</w:t>
      </w:r>
      <w:r>
        <w:rPr>
          <w:rFonts w:hint="eastAsia"/>
        </w:rPr>
        <w:t>日</w:t>
      </w:r>
    </w:p>
    <w:p w:rsidR="00FF2186" w:rsidRPr="00EC22D9" w:rsidRDefault="00FF2186"/>
    <w:p w:rsidR="00FF2186" w:rsidRDefault="00EF30F0">
      <w:pPr>
        <w:pStyle w:val="10"/>
        <w:adjustRightInd w:val="0"/>
        <w:snapToGrid w:val="0"/>
        <w:spacing w:before="0" w:line="440" w:lineRule="exact"/>
        <w:jc w:val="left"/>
        <w:rPr>
          <w:rFonts w:cstheme="minorBidi"/>
          <w:sz w:val="24"/>
          <w:szCs w:val="24"/>
        </w:rPr>
      </w:pPr>
      <w:r>
        <w:rPr>
          <w:rFonts w:hint="eastAsia"/>
          <w:sz w:val="24"/>
        </w:rPr>
        <w:t>第一部分单位概况</w:t>
      </w:r>
      <w:r>
        <w:rPr>
          <w:rFonts w:cstheme="minorBidi"/>
          <w:sz w:val="24"/>
          <w:szCs w:val="24"/>
        </w:rPr>
        <w:tab/>
      </w:r>
      <w:r>
        <w:rPr>
          <w:rFonts w:cstheme="minorBidi" w:hint="eastAsia"/>
          <w:sz w:val="24"/>
          <w:szCs w:val="24"/>
        </w:rPr>
        <w:t>1</w:t>
      </w:r>
    </w:p>
    <w:p w:rsidR="00FF2186" w:rsidRDefault="00EF30F0">
      <w:pPr>
        <w:pStyle w:val="20"/>
        <w:adjustRightInd w:val="0"/>
        <w:snapToGrid w:val="0"/>
        <w:spacing w:line="440" w:lineRule="exact"/>
        <w:jc w:val="left"/>
        <w:rPr>
          <w:sz w:val="24"/>
        </w:rPr>
      </w:pPr>
      <w:r>
        <w:rPr>
          <w:rFonts w:hint="eastAsia"/>
          <w:sz w:val="24"/>
        </w:rPr>
        <w:t>一、主要职责</w:t>
      </w:r>
      <w:r>
        <w:rPr>
          <w:rFonts w:cstheme="minorBidi"/>
          <w:sz w:val="24"/>
        </w:rPr>
        <w:tab/>
      </w:r>
      <w:r>
        <w:rPr>
          <w:rFonts w:cstheme="minorBidi" w:hint="eastAsia"/>
          <w:sz w:val="24"/>
        </w:rPr>
        <w:t>1</w:t>
      </w:r>
    </w:p>
    <w:p w:rsidR="00FF2186" w:rsidRDefault="00EF30F0">
      <w:pPr>
        <w:pStyle w:val="20"/>
        <w:adjustRightInd w:val="0"/>
        <w:snapToGrid w:val="0"/>
        <w:spacing w:line="440" w:lineRule="exact"/>
        <w:jc w:val="left"/>
      </w:pPr>
      <w:r>
        <w:rPr>
          <w:rFonts w:hint="eastAsia"/>
          <w:sz w:val="24"/>
        </w:rPr>
        <w:t>二、机构设置</w:t>
      </w:r>
      <w:r>
        <w:rPr>
          <w:rFonts w:cstheme="minorBidi"/>
          <w:sz w:val="24"/>
        </w:rPr>
        <w:tab/>
      </w:r>
      <w:r>
        <w:rPr>
          <w:rFonts w:cstheme="minorBidi" w:hint="eastAsia"/>
          <w:sz w:val="24"/>
        </w:rPr>
        <w:t>1</w:t>
      </w:r>
    </w:p>
    <w:p w:rsidR="00FF2186" w:rsidRDefault="00EF30F0">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ascii="Times New Roman" w:eastAsia="宋体" w:hAnsi="Times New Roman" w:cstheme="minorBidi" w:hint="eastAsia"/>
          <w:sz w:val="24"/>
          <w:szCs w:val="24"/>
        </w:rPr>
        <w:t>2</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cstheme="minorBidi" w:hint="eastAsia"/>
          <w:sz w:val="24"/>
        </w:rPr>
        <w:t>2</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cstheme="minorBidi" w:hint="eastAsia"/>
          <w:sz w:val="24"/>
        </w:rPr>
        <w:t>2</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cstheme="minorBidi" w:hint="eastAsia"/>
          <w:sz w:val="24"/>
        </w:rPr>
        <w:t>3</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4</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5</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7</w:t>
      </w:r>
    </w:p>
    <w:p w:rsidR="00FF2186" w:rsidRDefault="00EF30F0">
      <w:pPr>
        <w:pStyle w:val="20"/>
        <w:adjustRightInd w:val="0"/>
        <w:snapToGrid w:val="0"/>
        <w:spacing w:line="440" w:lineRule="exact"/>
        <w:jc w:val="left"/>
        <w:rPr>
          <w:rFonts w:ascii="仿宋" w:hAnsi="仿宋" w:cstheme="minorBidi"/>
          <w:b/>
          <w:bCs/>
          <w:sz w:val="24"/>
        </w:rPr>
      </w:pPr>
      <w:r>
        <w:rPr>
          <w:rFonts w:hint="eastAsia"/>
          <w:sz w:val="24"/>
        </w:rPr>
        <w:t>七、财政拨款“三公”经费支出决算情况说明</w:t>
      </w:r>
      <w:r>
        <w:rPr>
          <w:rFonts w:cstheme="minorBidi"/>
          <w:sz w:val="24"/>
        </w:rPr>
        <w:tab/>
      </w:r>
      <w:r>
        <w:rPr>
          <w:rFonts w:cstheme="minorBidi" w:hint="eastAsia"/>
          <w:sz w:val="24"/>
        </w:rPr>
        <w:t>7</w:t>
      </w:r>
    </w:p>
    <w:p w:rsidR="00FF2186" w:rsidRDefault="00EF30F0">
      <w:pPr>
        <w:pStyle w:val="20"/>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9</w:t>
      </w:r>
    </w:p>
    <w:p w:rsidR="00FF2186" w:rsidRDefault="00EF30F0">
      <w:pPr>
        <w:pStyle w:val="20"/>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cstheme="minorBidi" w:hint="eastAsia"/>
          <w:sz w:val="24"/>
        </w:rPr>
        <w:t>9</w:t>
      </w:r>
    </w:p>
    <w:p w:rsidR="00FF2186" w:rsidRDefault="00EF30F0">
      <w:pPr>
        <w:pStyle w:val="20"/>
        <w:adjustRightInd w:val="0"/>
        <w:snapToGrid w:val="0"/>
        <w:spacing w:line="440" w:lineRule="exact"/>
        <w:jc w:val="left"/>
        <w:rPr>
          <w:sz w:val="24"/>
        </w:rPr>
      </w:pPr>
      <w:r>
        <w:rPr>
          <w:rFonts w:hint="eastAsia"/>
          <w:sz w:val="24"/>
        </w:rPr>
        <w:t>十、其他重要事项的情况说明</w:t>
      </w:r>
      <w:r>
        <w:rPr>
          <w:rFonts w:cstheme="minorBidi"/>
          <w:sz w:val="24"/>
        </w:rPr>
        <w:tab/>
      </w:r>
      <w:r>
        <w:rPr>
          <w:rFonts w:cstheme="minorBidi" w:hint="eastAsia"/>
          <w:sz w:val="24"/>
        </w:rPr>
        <w:t>9</w:t>
      </w:r>
    </w:p>
    <w:p w:rsidR="00FF2186" w:rsidRDefault="00EF30F0">
      <w:pPr>
        <w:pStyle w:val="10"/>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rPr>
        <w:tab/>
      </w:r>
      <w:r>
        <w:rPr>
          <w:rFonts w:cstheme="minorBidi" w:hint="eastAsia"/>
          <w:sz w:val="24"/>
        </w:rPr>
        <w:t>11</w:t>
      </w:r>
    </w:p>
    <w:p w:rsidR="00FF2186" w:rsidRDefault="00EF30F0">
      <w:pPr>
        <w:pStyle w:val="10"/>
        <w:adjustRightInd w:val="0"/>
        <w:snapToGrid w:val="0"/>
        <w:spacing w:before="0" w:line="440" w:lineRule="exact"/>
        <w:jc w:val="left"/>
        <w:rPr>
          <w:rFonts w:cstheme="minorBidi"/>
          <w:sz w:val="24"/>
          <w:szCs w:val="24"/>
        </w:rPr>
      </w:pPr>
      <w:r>
        <w:rPr>
          <w:rFonts w:hint="eastAsia"/>
          <w:sz w:val="24"/>
        </w:rPr>
        <w:t>第四部分附件</w:t>
      </w:r>
      <w:r>
        <w:rPr>
          <w:rFonts w:cstheme="minorBidi"/>
          <w:sz w:val="24"/>
        </w:rPr>
        <w:tab/>
      </w:r>
      <w:r>
        <w:rPr>
          <w:rFonts w:cstheme="minorBidi" w:hint="eastAsia"/>
          <w:sz w:val="24"/>
        </w:rPr>
        <w:t>13</w:t>
      </w:r>
    </w:p>
    <w:p w:rsidR="00FF2186" w:rsidRDefault="00EF30F0">
      <w:pPr>
        <w:pStyle w:val="10"/>
        <w:adjustRightInd w:val="0"/>
        <w:snapToGrid w:val="0"/>
        <w:spacing w:before="0" w:line="440" w:lineRule="exact"/>
        <w:jc w:val="left"/>
        <w:rPr>
          <w:rFonts w:cstheme="minorBidi"/>
          <w:sz w:val="24"/>
          <w:szCs w:val="24"/>
        </w:rPr>
      </w:pPr>
      <w:r>
        <w:rPr>
          <w:rFonts w:hint="eastAsia"/>
          <w:sz w:val="24"/>
        </w:rPr>
        <w:t>第五部分附表</w:t>
      </w:r>
      <w:r>
        <w:rPr>
          <w:rFonts w:cstheme="minorBidi"/>
          <w:sz w:val="24"/>
        </w:rPr>
        <w:tab/>
      </w:r>
      <w:r>
        <w:rPr>
          <w:rFonts w:cstheme="minorBidi" w:hint="eastAsia"/>
          <w:sz w:val="24"/>
        </w:rPr>
        <w:t>14</w:t>
      </w:r>
    </w:p>
    <w:p w:rsidR="00FF2186" w:rsidRDefault="00EF30F0">
      <w:pPr>
        <w:pStyle w:val="20"/>
        <w:adjustRightInd w:val="0"/>
        <w:snapToGrid w:val="0"/>
        <w:spacing w:line="440" w:lineRule="exact"/>
        <w:jc w:val="left"/>
        <w:rPr>
          <w:sz w:val="24"/>
        </w:rPr>
      </w:pPr>
      <w:r>
        <w:rPr>
          <w:rFonts w:hint="eastAsia"/>
          <w:sz w:val="24"/>
        </w:rPr>
        <w:t>一、收入支出决算总表</w:t>
      </w:r>
    </w:p>
    <w:p w:rsidR="00FF2186" w:rsidRDefault="00EF30F0">
      <w:pPr>
        <w:pStyle w:val="20"/>
        <w:adjustRightInd w:val="0"/>
        <w:snapToGrid w:val="0"/>
        <w:spacing w:line="440" w:lineRule="exact"/>
        <w:jc w:val="left"/>
        <w:rPr>
          <w:sz w:val="24"/>
        </w:rPr>
      </w:pPr>
      <w:r>
        <w:rPr>
          <w:rFonts w:hint="eastAsia"/>
          <w:sz w:val="24"/>
        </w:rPr>
        <w:t>二、收入决算表</w:t>
      </w:r>
    </w:p>
    <w:p w:rsidR="00FF2186" w:rsidRDefault="00EF30F0">
      <w:pPr>
        <w:pStyle w:val="20"/>
        <w:adjustRightInd w:val="0"/>
        <w:snapToGrid w:val="0"/>
        <w:spacing w:line="440" w:lineRule="exact"/>
        <w:jc w:val="left"/>
        <w:rPr>
          <w:sz w:val="24"/>
        </w:rPr>
      </w:pPr>
      <w:r>
        <w:rPr>
          <w:rFonts w:hint="eastAsia"/>
          <w:sz w:val="24"/>
        </w:rPr>
        <w:t>三、支出决算表</w:t>
      </w:r>
    </w:p>
    <w:p w:rsidR="00FF2186" w:rsidRDefault="00EF30F0">
      <w:pPr>
        <w:pStyle w:val="20"/>
        <w:adjustRightInd w:val="0"/>
        <w:snapToGrid w:val="0"/>
        <w:spacing w:line="440" w:lineRule="exact"/>
        <w:jc w:val="left"/>
        <w:rPr>
          <w:sz w:val="24"/>
        </w:rPr>
      </w:pPr>
      <w:r>
        <w:rPr>
          <w:rFonts w:hint="eastAsia"/>
          <w:sz w:val="24"/>
        </w:rPr>
        <w:t>四、财政拨款收入支出决算总表</w:t>
      </w:r>
    </w:p>
    <w:p w:rsidR="00FF2186" w:rsidRDefault="00EF30F0">
      <w:pPr>
        <w:pStyle w:val="20"/>
        <w:adjustRightInd w:val="0"/>
        <w:snapToGrid w:val="0"/>
        <w:spacing w:line="440" w:lineRule="exact"/>
        <w:jc w:val="left"/>
        <w:rPr>
          <w:sz w:val="24"/>
        </w:rPr>
      </w:pPr>
      <w:r>
        <w:rPr>
          <w:rFonts w:hint="eastAsia"/>
          <w:sz w:val="24"/>
        </w:rPr>
        <w:t>五、财政拨款支出决算明细表</w:t>
      </w:r>
    </w:p>
    <w:p w:rsidR="00FF2186" w:rsidRDefault="00EF30F0">
      <w:pPr>
        <w:pStyle w:val="20"/>
        <w:adjustRightInd w:val="0"/>
        <w:snapToGrid w:val="0"/>
        <w:spacing w:line="440" w:lineRule="exact"/>
        <w:jc w:val="left"/>
        <w:rPr>
          <w:sz w:val="24"/>
        </w:rPr>
      </w:pPr>
      <w:r>
        <w:rPr>
          <w:rFonts w:hint="eastAsia"/>
          <w:sz w:val="24"/>
        </w:rPr>
        <w:t>六、一般公共预算财政拨款支出决算表</w:t>
      </w:r>
    </w:p>
    <w:p w:rsidR="00FF2186" w:rsidRDefault="00EF30F0">
      <w:pPr>
        <w:pStyle w:val="20"/>
        <w:adjustRightInd w:val="0"/>
        <w:snapToGrid w:val="0"/>
        <w:spacing w:line="440" w:lineRule="exact"/>
        <w:jc w:val="left"/>
        <w:rPr>
          <w:sz w:val="24"/>
        </w:rPr>
      </w:pPr>
      <w:r>
        <w:rPr>
          <w:rFonts w:hint="eastAsia"/>
          <w:sz w:val="24"/>
        </w:rPr>
        <w:t>七、一般公共预算财政拨款支出决算明细表</w:t>
      </w:r>
    </w:p>
    <w:p w:rsidR="00FF2186" w:rsidRDefault="00EF30F0">
      <w:pPr>
        <w:pStyle w:val="20"/>
        <w:adjustRightInd w:val="0"/>
        <w:snapToGrid w:val="0"/>
        <w:spacing w:line="440" w:lineRule="exact"/>
        <w:jc w:val="left"/>
        <w:rPr>
          <w:sz w:val="24"/>
        </w:rPr>
      </w:pPr>
      <w:r>
        <w:rPr>
          <w:rFonts w:hint="eastAsia"/>
          <w:sz w:val="24"/>
        </w:rPr>
        <w:t>八、一般公共预算财政拨款基本支出决算明细表</w:t>
      </w:r>
    </w:p>
    <w:p w:rsidR="00FF2186" w:rsidRDefault="00EF30F0">
      <w:pPr>
        <w:pStyle w:val="20"/>
        <w:adjustRightInd w:val="0"/>
        <w:snapToGrid w:val="0"/>
        <w:spacing w:line="440" w:lineRule="exact"/>
        <w:jc w:val="left"/>
        <w:rPr>
          <w:sz w:val="24"/>
        </w:rPr>
      </w:pPr>
      <w:r>
        <w:rPr>
          <w:rFonts w:hint="eastAsia"/>
          <w:sz w:val="24"/>
        </w:rPr>
        <w:t>九、一般公共预算财政拨款项目支出决算表</w:t>
      </w:r>
    </w:p>
    <w:p w:rsidR="00FF2186" w:rsidRDefault="00FF2186">
      <w:pPr>
        <w:pStyle w:val="20"/>
        <w:adjustRightInd w:val="0"/>
        <w:snapToGrid w:val="0"/>
        <w:spacing w:line="440" w:lineRule="exact"/>
        <w:jc w:val="left"/>
        <w:rPr>
          <w:sz w:val="24"/>
        </w:rPr>
        <w:sectPr w:rsidR="00FF2186">
          <w:footerReference w:type="default" r:id="rId14"/>
          <w:footerReference w:type="first" r:id="rId15"/>
          <w:pgSz w:w="11906" w:h="16838"/>
          <w:pgMar w:top="1440" w:right="1800" w:bottom="1440" w:left="1800" w:header="851" w:footer="992" w:gutter="0"/>
          <w:pgNumType w:start="1"/>
          <w:cols w:space="425"/>
          <w:docGrid w:type="lines" w:linePitch="312"/>
        </w:sectPr>
      </w:pPr>
    </w:p>
    <w:p w:rsidR="00FF2186" w:rsidRDefault="00EF30F0">
      <w:pPr>
        <w:pStyle w:val="20"/>
        <w:adjustRightInd w:val="0"/>
        <w:snapToGrid w:val="0"/>
        <w:spacing w:line="440" w:lineRule="exact"/>
        <w:jc w:val="left"/>
        <w:rPr>
          <w:sz w:val="24"/>
        </w:rPr>
      </w:pPr>
      <w:r>
        <w:rPr>
          <w:rFonts w:hint="eastAsia"/>
          <w:sz w:val="24"/>
        </w:rPr>
        <w:lastRenderedPageBreak/>
        <w:t>十、政府性基金预算财政拨款收入支出决算表</w:t>
      </w:r>
    </w:p>
    <w:p w:rsidR="00FF2186" w:rsidRDefault="00EF30F0">
      <w:pPr>
        <w:pStyle w:val="20"/>
        <w:adjustRightInd w:val="0"/>
        <w:snapToGrid w:val="0"/>
        <w:spacing w:line="440" w:lineRule="exact"/>
        <w:jc w:val="left"/>
        <w:rPr>
          <w:sz w:val="24"/>
        </w:rPr>
      </w:pPr>
      <w:r>
        <w:rPr>
          <w:rFonts w:hint="eastAsia"/>
          <w:sz w:val="24"/>
        </w:rPr>
        <w:t>十一、国有资本经营预算财政拨款收入支出决算表</w:t>
      </w:r>
    </w:p>
    <w:p w:rsidR="00FF2186" w:rsidRDefault="00EF30F0">
      <w:pPr>
        <w:pStyle w:val="20"/>
        <w:adjustRightInd w:val="0"/>
        <w:snapToGrid w:val="0"/>
        <w:spacing w:line="440" w:lineRule="exact"/>
        <w:jc w:val="left"/>
        <w:rPr>
          <w:sz w:val="24"/>
        </w:rPr>
      </w:pPr>
      <w:r>
        <w:rPr>
          <w:rFonts w:hint="eastAsia"/>
          <w:sz w:val="24"/>
        </w:rPr>
        <w:t>十二、国有资本经营预算财政拨款支出决算表</w:t>
      </w:r>
    </w:p>
    <w:p w:rsidR="00FF2186" w:rsidRDefault="00EF30F0">
      <w:pPr>
        <w:pStyle w:val="20"/>
        <w:adjustRightInd w:val="0"/>
        <w:snapToGrid w:val="0"/>
        <w:spacing w:line="440" w:lineRule="exact"/>
        <w:jc w:val="left"/>
        <w:rPr>
          <w:sz w:val="24"/>
        </w:rPr>
      </w:pPr>
      <w:r>
        <w:rPr>
          <w:rFonts w:hint="eastAsia"/>
          <w:sz w:val="24"/>
        </w:rPr>
        <w:t>十三、财政拨款“三公”经费支出决算表</w:t>
      </w:r>
    </w:p>
    <w:p w:rsidR="00FF2186" w:rsidRDefault="00FF2186">
      <w:pPr>
        <w:pStyle w:val="1"/>
        <w:jc w:val="center"/>
        <w:rPr>
          <w:rFonts w:ascii="黑体" w:eastAsia="黑体" w:hAnsi="黑体"/>
          <w:b w:val="0"/>
        </w:rPr>
        <w:sectPr w:rsidR="00FF2186">
          <w:footerReference w:type="default" r:id="rId16"/>
          <w:pgSz w:w="11906" w:h="16838"/>
          <w:pgMar w:top="1440" w:right="1800" w:bottom="1440" w:left="1800" w:header="851" w:footer="992" w:gutter="0"/>
          <w:pgNumType w:start="1"/>
          <w:cols w:space="425"/>
          <w:docGrid w:type="lines" w:linePitch="312"/>
        </w:sectPr>
      </w:pPr>
      <w:bookmarkStart w:id="12" w:name="_Toc15396599"/>
      <w:bookmarkStart w:id="13" w:name="_Toc15377196"/>
    </w:p>
    <w:p w:rsidR="00FF2186" w:rsidRDefault="00EF30F0">
      <w:pPr>
        <w:pStyle w:val="1"/>
        <w:jc w:val="center"/>
        <w:rPr>
          <w:rStyle w:val="1Char"/>
          <w:rFonts w:ascii="黑体" w:eastAsia="黑体" w:hAnsi="黑体"/>
          <w:b/>
        </w:rPr>
      </w:pPr>
      <w:r>
        <w:rPr>
          <w:rFonts w:ascii="黑体" w:eastAsia="黑体" w:hAnsi="黑体" w:hint="eastAsia"/>
          <w:b w:val="0"/>
        </w:rPr>
        <w:lastRenderedPageBreak/>
        <w:t>第一部分单位</w:t>
      </w:r>
      <w:r>
        <w:rPr>
          <w:rStyle w:val="1Char"/>
          <w:rFonts w:ascii="黑体" w:eastAsia="黑体" w:hAnsi="黑体" w:hint="eastAsia"/>
        </w:rPr>
        <w:t>概况</w:t>
      </w:r>
      <w:bookmarkEnd w:id="12"/>
      <w:bookmarkEnd w:id="13"/>
    </w:p>
    <w:p w:rsidR="00FF2186" w:rsidRDefault="00FF2186">
      <w:pPr>
        <w:widowControl/>
        <w:jc w:val="left"/>
        <w:rPr>
          <w:rFonts w:ascii="黑体" w:eastAsia="黑体"/>
          <w:sz w:val="32"/>
          <w:szCs w:val="32"/>
        </w:rPr>
      </w:pPr>
    </w:p>
    <w:p w:rsidR="00FF2186" w:rsidRDefault="00EF30F0">
      <w:pPr>
        <w:pStyle w:val="2"/>
        <w:numPr>
          <w:ilvl w:val="0"/>
          <w:numId w:val="1"/>
        </w:numPr>
        <w:rPr>
          <w:rStyle w:val="2Char"/>
          <w:rFonts w:ascii="黑体" w:eastAsia="黑体" w:hAnsi="黑体"/>
        </w:rPr>
      </w:pPr>
      <w:bookmarkStart w:id="14" w:name="_Toc15396600"/>
      <w:bookmarkStart w:id="15" w:name="_Toc15377197"/>
      <w:r>
        <w:rPr>
          <w:rStyle w:val="2Char"/>
          <w:rFonts w:ascii="黑体" w:eastAsia="黑体" w:hAnsi="黑体" w:hint="eastAsia"/>
        </w:rPr>
        <w:t>主要职责</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（1）贯彻执行《植物检疫条例》、《森林病虫害防治条例》等法律法规，负责开展林业植物检疫工作，办理林业植物检疫行政许可，查处检疫违法案件，防止林业检疫性有害生物传播蔓延；</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（2）负责全市林业有害生物监测预警工作，发布主要林业有害生物趋势预报，指导全市林业有害生物测报网络建设；</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（3）负责指导全市林业有害生物防治，组织开展重大林业有害生物防治先进技术推广应用，指导全市林业有害生物防灾减灾工作；</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（4）负责指导全市陆生野生动物疫源疫病监测工作，协调、配合相关部门做好陆生野生动物疫情应急处置；</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（5）完成市林业局交办的其他工作任务；</w:t>
      </w:r>
    </w:p>
    <w:p w:rsidR="00FF2186" w:rsidRDefault="00EF30F0">
      <w:pPr>
        <w:spacing w:line="578"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（6）职能转变（攀委办〔2019〕42号）</w:t>
      </w:r>
    </w:p>
    <w:p w:rsidR="00FF2186" w:rsidRDefault="00EF30F0">
      <w:pPr>
        <w:ind w:firstLineChars="200" w:firstLine="640"/>
      </w:pPr>
      <w:r>
        <w:rPr>
          <w:rFonts w:ascii="仿宋_GB2312" w:eastAsia="仿宋_GB2312" w:hAnsi="仿宋_GB2312" w:cs="仿宋_GB2312" w:hint="eastAsia"/>
          <w:color w:val="000000"/>
          <w:kern w:val="0"/>
          <w:sz w:val="32"/>
          <w:szCs w:val="32"/>
        </w:rPr>
        <w:t>市森林病虫防治检疫站不再承担森林病虫防治的监督管理职责，相关职责交由市林业局机关有关内设机构承担。</w:t>
      </w:r>
    </w:p>
    <w:p w:rsidR="00FF2186" w:rsidRDefault="00EF30F0">
      <w:pPr>
        <w:pStyle w:val="2"/>
        <w:rPr>
          <w:rFonts w:ascii="黑体" w:eastAsia="黑体" w:hAnsi="黑体"/>
          <w:b w:val="0"/>
        </w:rPr>
      </w:pPr>
      <w:r>
        <w:rPr>
          <w:rFonts w:ascii="黑体" w:eastAsia="黑体" w:hAnsi="黑体" w:hint="eastAsia"/>
          <w:b w:val="0"/>
        </w:rPr>
        <w:t>二、机构设置</w:t>
      </w:r>
    </w:p>
    <w:bookmarkEnd w:id="14"/>
    <w:bookmarkEnd w:id="15"/>
    <w:p w:rsidR="00FF2186" w:rsidRDefault="00EF30F0">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我单位为市林业局直属管理二级独立核算参照公务员</w:t>
      </w:r>
      <w:r>
        <w:rPr>
          <w:rFonts w:ascii="仿宋_GB2312" w:eastAsia="仿宋_GB2312" w:hAnsi="仿宋" w:hint="eastAsia"/>
          <w:sz w:val="32"/>
          <w:szCs w:val="32"/>
        </w:rPr>
        <w:lastRenderedPageBreak/>
        <w:t>法管理全额拨款事业单位,本年度机构无变动情况。</w:t>
      </w:r>
      <w:r>
        <w:rPr>
          <w:rFonts w:ascii="仿宋_GB2312" w:eastAsia="仿宋_GB2312" w:hint="eastAsia"/>
          <w:color w:val="000000"/>
          <w:sz w:val="32"/>
          <w:szCs w:val="32"/>
        </w:rPr>
        <w:t>人员编制为</w:t>
      </w:r>
      <w:r>
        <w:rPr>
          <w:rFonts w:ascii="仿宋_GB2312" w:eastAsia="仿宋_GB2312"/>
          <w:color w:val="000000"/>
          <w:sz w:val="32"/>
          <w:szCs w:val="32"/>
        </w:rPr>
        <w:t>11</w:t>
      </w:r>
      <w:r>
        <w:rPr>
          <w:rFonts w:ascii="仿宋_GB2312" w:eastAsia="仿宋_GB2312" w:hint="eastAsia"/>
          <w:color w:val="000000"/>
          <w:sz w:val="32"/>
          <w:szCs w:val="32"/>
        </w:rPr>
        <w:t>名，实有人员为</w:t>
      </w:r>
      <w:r>
        <w:rPr>
          <w:rFonts w:ascii="仿宋_GB2312" w:eastAsia="仿宋_GB2312"/>
          <w:color w:val="000000"/>
          <w:sz w:val="32"/>
          <w:szCs w:val="32"/>
        </w:rPr>
        <w:t>10</w:t>
      </w:r>
      <w:r>
        <w:rPr>
          <w:rFonts w:ascii="仿宋_GB2312" w:eastAsia="仿宋_GB2312" w:hint="eastAsia"/>
          <w:color w:val="000000"/>
          <w:sz w:val="32"/>
          <w:szCs w:val="32"/>
        </w:rPr>
        <w:t>名，退休人员共计</w:t>
      </w:r>
      <w:r>
        <w:rPr>
          <w:rFonts w:ascii="仿宋_GB2312" w:eastAsia="仿宋_GB2312"/>
          <w:color w:val="000000"/>
          <w:sz w:val="32"/>
          <w:szCs w:val="32"/>
        </w:rPr>
        <w:t>6</w:t>
      </w:r>
      <w:r>
        <w:rPr>
          <w:rFonts w:ascii="仿宋_GB2312" w:eastAsia="仿宋_GB2312" w:hint="eastAsia"/>
          <w:color w:val="000000"/>
          <w:sz w:val="32"/>
          <w:szCs w:val="32"/>
        </w:rPr>
        <w:t>人(已交社保统一管理)。</w:t>
      </w:r>
    </w:p>
    <w:p w:rsidR="00FF2186" w:rsidRDefault="00FF2186">
      <w:pPr>
        <w:widowControl/>
        <w:jc w:val="left"/>
        <w:rPr>
          <w:rFonts w:ascii="仿宋" w:eastAsia="仿宋" w:hAnsi="仿宋"/>
          <w:kern w:val="0"/>
          <w:sz w:val="32"/>
          <w:szCs w:val="32"/>
        </w:rPr>
      </w:pPr>
    </w:p>
    <w:p w:rsidR="00FF2186" w:rsidRDefault="00EF30F0">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t>第二部分 2022年度</w:t>
      </w:r>
      <w:r>
        <w:rPr>
          <w:rStyle w:val="1Char"/>
          <w:rFonts w:ascii="黑体" w:eastAsia="黑体" w:hAnsi="黑体" w:hint="eastAsia"/>
          <w:bCs/>
        </w:rPr>
        <w:t>单位决算情况说明</w:t>
      </w:r>
      <w:bookmarkEnd w:id="16"/>
      <w:bookmarkEnd w:id="17"/>
    </w:p>
    <w:p w:rsidR="00FF2186" w:rsidRDefault="00EF30F0">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F2186" w:rsidRDefault="00EF30F0">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w:t>
      </w:r>
      <w:r>
        <w:rPr>
          <w:rFonts w:ascii="仿宋" w:eastAsia="仿宋" w:hAnsi="仿宋"/>
          <w:sz w:val="32"/>
          <w:szCs w:val="32"/>
        </w:rPr>
        <w:t>203.68</w:t>
      </w:r>
      <w:r>
        <w:rPr>
          <w:rFonts w:ascii="仿宋" w:eastAsia="仿宋" w:hAnsi="仿宋" w:hint="eastAsia"/>
          <w:sz w:val="32"/>
          <w:szCs w:val="32"/>
        </w:rPr>
        <w:t>万元。与2021年206.7万元相比，收、支总计各减少万元3.02，下降0.15</w:t>
      </w:r>
      <w:r>
        <w:rPr>
          <w:rFonts w:ascii="仿宋" w:eastAsia="仿宋" w:hAnsi="仿宋"/>
          <w:sz w:val="32"/>
          <w:szCs w:val="32"/>
        </w:rPr>
        <w:t>%</w:t>
      </w:r>
      <w:r>
        <w:rPr>
          <w:rFonts w:ascii="仿宋" w:eastAsia="仿宋" w:hAnsi="仿宋" w:hint="eastAsia"/>
          <w:sz w:val="32"/>
          <w:szCs w:val="32"/>
        </w:rPr>
        <w:t>。主要变动原因是项目经费支出减少</w:t>
      </w:r>
      <w:r>
        <w:rPr>
          <w:rFonts w:ascii="仿宋" w:eastAsia="仿宋" w:hAnsi="仿宋"/>
          <w:sz w:val="32"/>
          <w:szCs w:val="32"/>
        </w:rPr>
        <w:t>，2022</w:t>
      </w:r>
      <w:r>
        <w:rPr>
          <w:rFonts w:ascii="仿宋" w:eastAsia="仿宋" w:hAnsi="仿宋" w:hint="eastAsia"/>
          <w:sz w:val="32"/>
          <w:szCs w:val="32"/>
        </w:rPr>
        <w:t>年多处</w:t>
      </w:r>
      <w:r>
        <w:rPr>
          <w:rFonts w:ascii="仿宋" w:eastAsia="仿宋" w:hAnsi="仿宋"/>
          <w:sz w:val="32"/>
          <w:szCs w:val="32"/>
        </w:rPr>
        <w:t>项目经费</w:t>
      </w:r>
      <w:r>
        <w:rPr>
          <w:rFonts w:ascii="仿宋" w:eastAsia="仿宋" w:hAnsi="仿宋" w:hint="eastAsia"/>
          <w:sz w:val="32"/>
          <w:szCs w:val="32"/>
        </w:rPr>
        <w:t>转</w:t>
      </w:r>
      <w:r>
        <w:rPr>
          <w:rFonts w:ascii="仿宋" w:eastAsia="仿宋" w:hAnsi="仿宋"/>
          <w:sz w:val="32"/>
          <w:szCs w:val="32"/>
        </w:rPr>
        <w:t>至</w:t>
      </w:r>
      <w:r>
        <w:rPr>
          <w:rFonts w:ascii="仿宋" w:eastAsia="仿宋" w:hAnsi="仿宋" w:hint="eastAsia"/>
          <w:sz w:val="32"/>
          <w:szCs w:val="32"/>
        </w:rPr>
        <w:t>2023年</w:t>
      </w:r>
      <w:r>
        <w:rPr>
          <w:rFonts w:ascii="仿宋" w:eastAsia="仿宋" w:hAnsi="仿宋"/>
          <w:sz w:val="32"/>
          <w:szCs w:val="32"/>
        </w:rPr>
        <w:t>支付</w:t>
      </w:r>
      <w:r>
        <w:rPr>
          <w:rFonts w:ascii="仿宋" w:eastAsia="仿宋" w:hAnsi="仿宋" w:hint="eastAsia"/>
          <w:sz w:val="32"/>
          <w:szCs w:val="32"/>
        </w:rPr>
        <w:t>。</w:t>
      </w:r>
    </w:p>
    <w:p w:rsidR="00FF2186" w:rsidRDefault="00EF30F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FF2186" w:rsidRDefault="00EF30F0">
      <w:pPr>
        <w:pStyle w:val="a0"/>
        <w:spacing w:before="93"/>
        <w:rPr>
          <w:sz w:val="32"/>
          <w:szCs w:val="32"/>
        </w:rPr>
      </w:pPr>
      <w:r>
        <w:rPr>
          <w:noProof/>
          <w:sz w:val="32"/>
          <w:szCs w:val="32"/>
        </w:rPr>
        <w:drawing>
          <wp:inline distT="0" distB="0" distL="0" distR="0">
            <wp:extent cx="5274310" cy="3076575"/>
            <wp:effectExtent l="0" t="0" r="25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2186" w:rsidRDefault="00EF30F0">
      <w:pPr>
        <w:pStyle w:val="a9"/>
        <w:numPr>
          <w:ilvl w:val="0"/>
          <w:numId w:val="2"/>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FF2186" w:rsidRDefault="00EF30F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w:t>
      </w:r>
      <w:r>
        <w:rPr>
          <w:rFonts w:ascii="仿宋" w:eastAsia="仿宋" w:hAnsi="仿宋"/>
          <w:sz w:val="32"/>
          <w:szCs w:val="32"/>
        </w:rPr>
        <w:t>203.68</w:t>
      </w:r>
      <w:r>
        <w:rPr>
          <w:rFonts w:ascii="仿宋" w:eastAsia="仿宋" w:hAnsi="仿宋" w:hint="eastAsia"/>
          <w:sz w:val="32"/>
          <w:szCs w:val="32"/>
        </w:rPr>
        <w:t>万元，其中：一般公共预</w:t>
      </w:r>
      <w:r>
        <w:rPr>
          <w:rFonts w:ascii="仿宋" w:eastAsia="仿宋" w:hAnsi="仿宋" w:hint="eastAsia"/>
          <w:sz w:val="32"/>
          <w:szCs w:val="32"/>
        </w:rPr>
        <w:lastRenderedPageBreak/>
        <w:t>算财政拨款收入</w:t>
      </w:r>
      <w:r>
        <w:rPr>
          <w:rFonts w:ascii="仿宋" w:eastAsia="仿宋" w:hAnsi="仿宋"/>
          <w:sz w:val="32"/>
          <w:szCs w:val="32"/>
        </w:rPr>
        <w:t>192.44</w:t>
      </w:r>
      <w:r>
        <w:rPr>
          <w:rFonts w:ascii="仿宋" w:eastAsia="仿宋" w:hAnsi="仿宋" w:hint="eastAsia"/>
          <w:sz w:val="32"/>
          <w:szCs w:val="32"/>
        </w:rPr>
        <w:t>万元，占</w:t>
      </w:r>
      <w:r>
        <w:rPr>
          <w:rFonts w:ascii="仿宋" w:eastAsia="仿宋" w:hAnsi="仿宋"/>
          <w:sz w:val="32"/>
          <w:szCs w:val="32"/>
        </w:rPr>
        <w:t>94.48%</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FF2186" w:rsidRDefault="00EF30F0">
      <w:pPr>
        <w:spacing w:line="600" w:lineRule="exact"/>
        <w:ind w:firstLineChars="200" w:firstLine="640"/>
        <w:rPr>
          <w:rFonts w:ascii="仿宋" w:eastAsia="仿宋" w:hAnsi="仿宋"/>
          <w:sz w:val="32"/>
          <w:szCs w:val="32"/>
        </w:rPr>
      </w:pPr>
      <w:r>
        <w:rPr>
          <w:rFonts w:ascii="仿宋_GB2312" w:eastAsia="仿宋_GB2312" w:hint="eastAsia"/>
          <w:noProof/>
          <w:sz w:val="32"/>
          <w:szCs w:val="32"/>
        </w:rPr>
        <w:drawing>
          <wp:anchor distT="0" distB="0" distL="114300" distR="114300" simplePos="0" relativeHeight="251658240" behindDoc="1" locked="0" layoutInCell="1" allowOverlap="1">
            <wp:simplePos x="0" y="0"/>
            <wp:positionH relativeFrom="column">
              <wp:posOffset>-137160</wp:posOffset>
            </wp:positionH>
            <wp:positionV relativeFrom="paragraph">
              <wp:posOffset>603250</wp:posOffset>
            </wp:positionV>
            <wp:extent cx="5274310" cy="3076575"/>
            <wp:effectExtent l="0" t="0" r="2540" b="9525"/>
            <wp:wrapTight wrapText="bothSides">
              <wp:wrapPolygon edited="0">
                <wp:start x="0" y="0"/>
                <wp:lineTo x="0" y="21533"/>
                <wp:lineTo x="21532" y="21533"/>
                <wp:lineTo x="21532" y="0"/>
                <wp:lineTo x="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仿宋" w:eastAsia="仿宋" w:hAnsi="仿宋" w:hint="eastAsia"/>
          <w:sz w:val="32"/>
          <w:szCs w:val="32"/>
        </w:rPr>
        <w:t>（图2：收入决算结构图）（饼状图）</w:t>
      </w:r>
    </w:p>
    <w:p w:rsidR="00FF2186" w:rsidRDefault="00EF30F0">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FF2186" w:rsidRDefault="00EF30F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w:t>
      </w:r>
      <w:r>
        <w:rPr>
          <w:rFonts w:ascii="仿宋" w:eastAsia="仿宋" w:hAnsi="仿宋"/>
          <w:sz w:val="32"/>
          <w:szCs w:val="32"/>
        </w:rPr>
        <w:t>203.68</w:t>
      </w:r>
      <w:r>
        <w:rPr>
          <w:rFonts w:ascii="仿宋" w:eastAsia="仿宋" w:hAnsi="仿宋" w:hint="eastAsia"/>
          <w:sz w:val="32"/>
          <w:szCs w:val="32"/>
        </w:rPr>
        <w:t>万元，其中：基本支出</w:t>
      </w:r>
      <w:r>
        <w:rPr>
          <w:rFonts w:ascii="仿宋" w:eastAsia="仿宋" w:hAnsi="仿宋"/>
          <w:sz w:val="32"/>
          <w:szCs w:val="32"/>
        </w:rPr>
        <w:t>192.33</w:t>
      </w:r>
      <w:r>
        <w:rPr>
          <w:rFonts w:ascii="仿宋" w:eastAsia="仿宋" w:hAnsi="仿宋" w:hint="eastAsia"/>
          <w:sz w:val="32"/>
          <w:szCs w:val="32"/>
        </w:rPr>
        <w:t>万元，占</w:t>
      </w:r>
      <w:r>
        <w:rPr>
          <w:rFonts w:ascii="仿宋" w:eastAsia="仿宋" w:hAnsi="仿宋"/>
          <w:sz w:val="32"/>
          <w:szCs w:val="32"/>
        </w:rPr>
        <w:t>94.43%</w:t>
      </w:r>
      <w:r>
        <w:rPr>
          <w:rFonts w:ascii="仿宋" w:eastAsia="仿宋" w:hAnsi="仿宋" w:hint="eastAsia"/>
          <w:sz w:val="32"/>
          <w:szCs w:val="32"/>
        </w:rPr>
        <w:t>；项目支出</w:t>
      </w:r>
      <w:r>
        <w:rPr>
          <w:rFonts w:ascii="仿宋" w:eastAsia="仿宋" w:hAnsi="仿宋"/>
          <w:sz w:val="32"/>
          <w:szCs w:val="32"/>
        </w:rPr>
        <w:t>11.35</w:t>
      </w:r>
      <w:r>
        <w:rPr>
          <w:rFonts w:ascii="仿宋" w:eastAsia="仿宋" w:hAnsi="仿宋" w:hint="eastAsia"/>
          <w:sz w:val="32"/>
          <w:szCs w:val="32"/>
        </w:rPr>
        <w:t>万元，占</w:t>
      </w:r>
      <w:r>
        <w:rPr>
          <w:rFonts w:ascii="仿宋" w:eastAsia="仿宋" w:hAnsi="仿宋"/>
          <w:sz w:val="32"/>
          <w:szCs w:val="32"/>
        </w:rPr>
        <w:t>5.57%</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FF2186" w:rsidRDefault="00EF30F0">
      <w:pPr>
        <w:spacing w:line="600" w:lineRule="exact"/>
        <w:ind w:firstLineChars="200" w:firstLine="640"/>
        <w:outlineLvl w:val="1"/>
        <w:rPr>
          <w:rFonts w:ascii="仿宋" w:eastAsia="仿宋" w:hAnsi="仿宋"/>
          <w:sz w:val="32"/>
          <w:szCs w:val="32"/>
        </w:rPr>
      </w:pPr>
      <w:r>
        <w:rPr>
          <w:rFonts w:ascii="仿宋_GB2312" w:eastAsia="仿宋_GB2312"/>
          <w:noProof/>
          <w:sz w:val="32"/>
          <w:szCs w:val="32"/>
        </w:rPr>
        <w:lastRenderedPageBreak/>
        <w:drawing>
          <wp:anchor distT="0" distB="0" distL="114300" distR="114300" simplePos="0" relativeHeight="251659264" behindDoc="1" locked="0" layoutInCell="1" allowOverlap="1">
            <wp:simplePos x="0" y="0"/>
            <wp:positionH relativeFrom="column">
              <wp:posOffset>45720</wp:posOffset>
            </wp:positionH>
            <wp:positionV relativeFrom="paragraph">
              <wp:posOffset>563880</wp:posOffset>
            </wp:positionV>
            <wp:extent cx="5274310" cy="3076575"/>
            <wp:effectExtent l="0" t="0" r="2540" b="9525"/>
            <wp:wrapTight wrapText="bothSides">
              <wp:wrapPolygon edited="0">
                <wp:start x="0" y="0"/>
                <wp:lineTo x="0" y="21533"/>
                <wp:lineTo x="21532" y="21533"/>
                <wp:lineTo x="21532" y="0"/>
                <wp:lineTo x="0" y="0"/>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仿宋" w:eastAsia="仿宋" w:hAnsi="仿宋" w:hint="eastAsia"/>
          <w:sz w:val="32"/>
          <w:szCs w:val="32"/>
        </w:rPr>
        <w:t>（图3：支出决算结构图）（饼状图）</w:t>
      </w:r>
    </w:p>
    <w:p w:rsidR="00FF2186" w:rsidRDefault="00FF2186">
      <w:pPr>
        <w:spacing w:line="600" w:lineRule="exact"/>
        <w:ind w:firstLineChars="200" w:firstLine="640"/>
        <w:rPr>
          <w:rFonts w:ascii="仿宋_GB2312" w:eastAsia="仿宋_GB2312"/>
          <w:sz w:val="32"/>
          <w:szCs w:val="32"/>
        </w:rPr>
      </w:pPr>
    </w:p>
    <w:p w:rsidR="00FF2186" w:rsidRDefault="00EF30F0">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FF2186" w:rsidRDefault="00EF30F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w:t>
      </w:r>
      <w:r>
        <w:rPr>
          <w:rFonts w:ascii="仿宋" w:eastAsia="仿宋" w:hAnsi="仿宋"/>
          <w:sz w:val="32"/>
          <w:szCs w:val="32"/>
        </w:rPr>
        <w:t>203.68</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21年相比，财政拨款收、支总计各减少3.02万元，下降</w:t>
      </w:r>
      <w:r>
        <w:rPr>
          <w:rFonts w:ascii="仿宋" w:eastAsia="仿宋" w:hAnsi="仿宋"/>
          <w:sz w:val="32"/>
          <w:szCs w:val="32"/>
        </w:rPr>
        <w:t>0.15%</w:t>
      </w:r>
      <w:r>
        <w:rPr>
          <w:rFonts w:ascii="仿宋" w:eastAsia="仿宋" w:hAnsi="仿宋" w:hint="eastAsia"/>
          <w:sz w:val="32"/>
          <w:szCs w:val="32"/>
        </w:rPr>
        <w:t>。主要变动原因是项目经费支出减少</w:t>
      </w:r>
      <w:r>
        <w:rPr>
          <w:rFonts w:ascii="仿宋" w:eastAsia="仿宋" w:hAnsi="仿宋"/>
          <w:sz w:val="32"/>
          <w:szCs w:val="32"/>
        </w:rPr>
        <w:t>，2022</w:t>
      </w:r>
      <w:r>
        <w:rPr>
          <w:rFonts w:ascii="仿宋" w:eastAsia="仿宋" w:hAnsi="仿宋" w:hint="eastAsia"/>
          <w:sz w:val="32"/>
          <w:szCs w:val="32"/>
        </w:rPr>
        <w:t>年多处</w:t>
      </w:r>
      <w:r>
        <w:rPr>
          <w:rFonts w:ascii="仿宋" w:eastAsia="仿宋" w:hAnsi="仿宋"/>
          <w:sz w:val="32"/>
          <w:szCs w:val="32"/>
        </w:rPr>
        <w:t>项目经费</w:t>
      </w:r>
      <w:r>
        <w:rPr>
          <w:rFonts w:ascii="仿宋" w:eastAsia="仿宋" w:hAnsi="仿宋" w:hint="eastAsia"/>
          <w:sz w:val="32"/>
          <w:szCs w:val="32"/>
        </w:rPr>
        <w:t>转</w:t>
      </w:r>
      <w:r>
        <w:rPr>
          <w:rFonts w:ascii="仿宋" w:eastAsia="仿宋" w:hAnsi="仿宋"/>
          <w:sz w:val="32"/>
          <w:szCs w:val="32"/>
        </w:rPr>
        <w:t>至</w:t>
      </w:r>
      <w:r>
        <w:rPr>
          <w:rFonts w:ascii="仿宋" w:eastAsia="仿宋" w:hAnsi="仿宋" w:hint="eastAsia"/>
          <w:sz w:val="32"/>
          <w:szCs w:val="32"/>
        </w:rPr>
        <w:t>2023年</w:t>
      </w:r>
      <w:r>
        <w:rPr>
          <w:rFonts w:ascii="仿宋" w:eastAsia="仿宋" w:hAnsi="仿宋"/>
          <w:sz w:val="32"/>
          <w:szCs w:val="32"/>
        </w:rPr>
        <w:t>支付</w:t>
      </w:r>
      <w:r>
        <w:rPr>
          <w:rFonts w:ascii="仿宋" w:eastAsia="仿宋" w:hAnsi="仿宋" w:hint="eastAsia"/>
          <w:sz w:val="32"/>
          <w:szCs w:val="32"/>
        </w:rPr>
        <w:t>。</w:t>
      </w:r>
    </w:p>
    <w:p w:rsidR="00FF2186" w:rsidRDefault="00EF30F0">
      <w:pPr>
        <w:spacing w:line="600" w:lineRule="exact"/>
        <w:ind w:firstLineChars="200" w:firstLine="640"/>
        <w:rPr>
          <w:rFonts w:ascii="仿宋" w:eastAsia="仿宋" w:hAnsi="仿宋"/>
          <w:sz w:val="32"/>
          <w:szCs w:val="32"/>
        </w:rPr>
      </w:pPr>
      <w:r>
        <w:rPr>
          <w:noProof/>
          <w:sz w:val="32"/>
          <w:szCs w:val="32"/>
        </w:rPr>
        <w:drawing>
          <wp:anchor distT="0" distB="0" distL="114300" distR="114300" simplePos="0" relativeHeight="251662336" behindDoc="1" locked="0" layoutInCell="1" allowOverlap="1">
            <wp:simplePos x="0" y="0"/>
            <wp:positionH relativeFrom="column">
              <wp:posOffset>53340</wp:posOffset>
            </wp:positionH>
            <wp:positionV relativeFrom="paragraph">
              <wp:posOffset>556260</wp:posOffset>
            </wp:positionV>
            <wp:extent cx="5227320" cy="2423160"/>
            <wp:effectExtent l="0" t="0" r="11430" b="15240"/>
            <wp:wrapTight wrapText="bothSides">
              <wp:wrapPolygon edited="0">
                <wp:start x="0" y="0"/>
                <wp:lineTo x="0" y="21566"/>
                <wp:lineTo x="21569" y="21566"/>
                <wp:lineTo x="21569" y="0"/>
                <wp:lineTo x="0" y="0"/>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仿宋" w:eastAsia="仿宋" w:hAnsi="仿宋" w:hint="eastAsia"/>
          <w:sz w:val="32"/>
          <w:szCs w:val="32"/>
        </w:rPr>
        <w:t>（图4：财政拨款收、支决算总计变动情况）（柱状图）</w:t>
      </w:r>
    </w:p>
    <w:p w:rsidR="00FF2186" w:rsidRDefault="00EF30F0">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lastRenderedPageBreak/>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FF2186" w:rsidRDefault="00EF30F0">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FF2186" w:rsidRDefault="00EF30F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Pr>
          <w:rFonts w:ascii="仿宋" w:eastAsia="仿宋" w:hAnsi="仿宋"/>
          <w:sz w:val="32"/>
          <w:szCs w:val="32"/>
        </w:rPr>
        <w:t>203.68</w:t>
      </w:r>
      <w:r>
        <w:rPr>
          <w:rFonts w:ascii="仿宋" w:eastAsia="仿宋" w:hAnsi="仿宋" w:hint="eastAsia"/>
          <w:sz w:val="32"/>
          <w:szCs w:val="32"/>
        </w:rPr>
        <w:t>万元，占本年支出合计的</w:t>
      </w:r>
      <w:r>
        <w:rPr>
          <w:rFonts w:ascii="仿宋" w:eastAsia="仿宋" w:hAnsi="仿宋"/>
          <w:sz w:val="32"/>
          <w:szCs w:val="32"/>
        </w:rPr>
        <w:t>100%</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21年相比，一般公共预算财政拨款支出减少</w:t>
      </w:r>
      <w:r>
        <w:rPr>
          <w:rFonts w:ascii="仿宋" w:eastAsia="仿宋" w:hAnsi="仿宋"/>
          <w:sz w:val="32"/>
          <w:szCs w:val="32"/>
        </w:rPr>
        <w:t>3.02</w:t>
      </w:r>
      <w:r>
        <w:rPr>
          <w:rFonts w:ascii="仿宋" w:eastAsia="仿宋" w:hAnsi="仿宋" w:hint="eastAsia"/>
          <w:sz w:val="32"/>
          <w:szCs w:val="32"/>
        </w:rPr>
        <w:t>万元，下降</w:t>
      </w:r>
      <w:r>
        <w:rPr>
          <w:rFonts w:ascii="仿宋" w:eastAsia="仿宋" w:hAnsi="仿宋"/>
          <w:sz w:val="32"/>
          <w:szCs w:val="32"/>
        </w:rPr>
        <w:t>0.15%</w:t>
      </w:r>
      <w:r>
        <w:rPr>
          <w:rFonts w:ascii="仿宋" w:eastAsia="仿宋" w:hAnsi="仿宋" w:hint="eastAsia"/>
          <w:sz w:val="32"/>
          <w:szCs w:val="32"/>
        </w:rPr>
        <w:t>。主要变动原因是项目经费支出减少</w:t>
      </w:r>
      <w:r>
        <w:rPr>
          <w:rFonts w:ascii="仿宋" w:eastAsia="仿宋" w:hAnsi="仿宋"/>
          <w:sz w:val="32"/>
          <w:szCs w:val="32"/>
        </w:rPr>
        <w:t>，2022</w:t>
      </w:r>
      <w:r>
        <w:rPr>
          <w:rFonts w:ascii="仿宋" w:eastAsia="仿宋" w:hAnsi="仿宋" w:hint="eastAsia"/>
          <w:sz w:val="32"/>
          <w:szCs w:val="32"/>
        </w:rPr>
        <w:t>年多处</w:t>
      </w:r>
      <w:r>
        <w:rPr>
          <w:rFonts w:ascii="仿宋" w:eastAsia="仿宋" w:hAnsi="仿宋"/>
          <w:sz w:val="32"/>
          <w:szCs w:val="32"/>
        </w:rPr>
        <w:t>项目经费</w:t>
      </w:r>
      <w:r>
        <w:rPr>
          <w:rFonts w:ascii="仿宋" w:eastAsia="仿宋" w:hAnsi="仿宋" w:hint="eastAsia"/>
          <w:sz w:val="32"/>
          <w:szCs w:val="32"/>
        </w:rPr>
        <w:t>转</w:t>
      </w:r>
      <w:r>
        <w:rPr>
          <w:rFonts w:ascii="仿宋" w:eastAsia="仿宋" w:hAnsi="仿宋"/>
          <w:sz w:val="32"/>
          <w:szCs w:val="32"/>
        </w:rPr>
        <w:t>至</w:t>
      </w:r>
      <w:r>
        <w:rPr>
          <w:rFonts w:ascii="仿宋" w:eastAsia="仿宋" w:hAnsi="仿宋" w:hint="eastAsia"/>
          <w:sz w:val="32"/>
          <w:szCs w:val="32"/>
        </w:rPr>
        <w:t>2023年</w:t>
      </w:r>
      <w:r>
        <w:rPr>
          <w:rFonts w:ascii="仿宋" w:eastAsia="仿宋" w:hAnsi="仿宋"/>
          <w:sz w:val="32"/>
          <w:szCs w:val="32"/>
        </w:rPr>
        <w:t>支付</w:t>
      </w:r>
      <w:r>
        <w:rPr>
          <w:rFonts w:ascii="仿宋" w:eastAsia="仿宋" w:hAnsi="仿宋" w:hint="eastAsia"/>
          <w:sz w:val="32"/>
          <w:szCs w:val="32"/>
        </w:rPr>
        <w:t>。</w:t>
      </w:r>
    </w:p>
    <w:p w:rsidR="00FF2186" w:rsidRDefault="00EF30F0">
      <w:pPr>
        <w:spacing w:line="600" w:lineRule="exact"/>
        <w:ind w:firstLineChars="200" w:firstLine="640"/>
        <w:rPr>
          <w:rFonts w:ascii="仿宋" w:eastAsia="仿宋" w:hAnsi="仿宋"/>
          <w:sz w:val="32"/>
          <w:szCs w:val="32"/>
        </w:rPr>
      </w:pPr>
      <w:r>
        <w:rPr>
          <w:noProof/>
          <w:sz w:val="32"/>
          <w:szCs w:val="32"/>
        </w:rPr>
        <w:drawing>
          <wp:anchor distT="0" distB="0" distL="114300" distR="114300" simplePos="0" relativeHeight="251664384" behindDoc="1" locked="0" layoutInCell="1" allowOverlap="1">
            <wp:simplePos x="0" y="0"/>
            <wp:positionH relativeFrom="column">
              <wp:posOffset>-45720</wp:posOffset>
            </wp:positionH>
            <wp:positionV relativeFrom="paragraph">
              <wp:posOffset>784860</wp:posOffset>
            </wp:positionV>
            <wp:extent cx="5311140" cy="2552700"/>
            <wp:effectExtent l="0" t="0" r="3810" b="0"/>
            <wp:wrapTight wrapText="bothSides">
              <wp:wrapPolygon edited="0">
                <wp:start x="0" y="0"/>
                <wp:lineTo x="0" y="21439"/>
                <wp:lineTo x="21538" y="21439"/>
                <wp:lineTo x="21538" y="0"/>
                <wp:lineTo x="0" y="0"/>
              </wp:wrapPolygon>
            </wp:wrapTight>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仿宋" w:eastAsia="仿宋" w:hAnsi="仿宋" w:hint="eastAsia"/>
          <w:sz w:val="32"/>
          <w:szCs w:val="32"/>
        </w:rPr>
        <w:t>（图5：一般公共预算财政拨款支出决算变动情况）（柱状图）</w:t>
      </w:r>
    </w:p>
    <w:p w:rsidR="00FF2186" w:rsidRDefault="00EF30F0">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FF2186" w:rsidRDefault="00EF30F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Pr>
          <w:rFonts w:ascii="仿宋" w:eastAsia="仿宋" w:hAnsi="仿宋"/>
          <w:sz w:val="32"/>
          <w:szCs w:val="32"/>
        </w:rPr>
        <w:t>203.68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支出（类）</w:t>
      </w:r>
      <w:r>
        <w:rPr>
          <w:rFonts w:ascii="仿宋" w:eastAsia="仿宋" w:hAnsi="仿宋"/>
          <w:sz w:val="32"/>
          <w:szCs w:val="32"/>
        </w:rPr>
        <w:t>28.17</w:t>
      </w:r>
      <w:r>
        <w:rPr>
          <w:rFonts w:ascii="仿宋" w:eastAsia="仿宋" w:hAnsi="仿宋" w:hint="eastAsia"/>
          <w:sz w:val="32"/>
          <w:szCs w:val="32"/>
        </w:rPr>
        <w:t>万元，占</w:t>
      </w:r>
      <w:r>
        <w:rPr>
          <w:rFonts w:ascii="仿宋" w:eastAsia="仿宋" w:hAnsi="仿宋"/>
          <w:sz w:val="32"/>
          <w:szCs w:val="32"/>
        </w:rPr>
        <w:t>13.83%</w:t>
      </w:r>
      <w:r>
        <w:rPr>
          <w:rFonts w:ascii="仿宋" w:eastAsia="仿宋" w:hAnsi="仿宋" w:hint="eastAsia"/>
          <w:sz w:val="32"/>
          <w:szCs w:val="32"/>
        </w:rPr>
        <w:t>；</w:t>
      </w:r>
      <w:r>
        <w:rPr>
          <w:rFonts w:ascii="仿宋" w:eastAsia="仿宋" w:hAnsi="仿宋" w:hint="eastAsia"/>
          <w:b/>
          <w:bCs/>
          <w:sz w:val="32"/>
          <w:szCs w:val="32"/>
        </w:rPr>
        <w:t>住房保障支出（类）</w:t>
      </w:r>
      <w:r>
        <w:rPr>
          <w:rFonts w:ascii="仿宋" w:eastAsia="仿宋" w:hAnsi="仿宋"/>
          <w:sz w:val="32"/>
          <w:szCs w:val="32"/>
        </w:rPr>
        <w:t>15.3</w:t>
      </w:r>
      <w:r>
        <w:rPr>
          <w:rFonts w:ascii="仿宋" w:eastAsia="仿宋" w:hAnsi="仿宋" w:hint="eastAsia"/>
          <w:sz w:val="32"/>
          <w:szCs w:val="32"/>
        </w:rPr>
        <w:t>万元，占</w:t>
      </w:r>
      <w:r>
        <w:rPr>
          <w:rFonts w:ascii="仿宋" w:eastAsia="仿宋" w:hAnsi="仿宋"/>
          <w:sz w:val="32"/>
          <w:szCs w:val="32"/>
        </w:rPr>
        <w:t>7.51%</w:t>
      </w:r>
      <w:r>
        <w:rPr>
          <w:rFonts w:ascii="仿宋" w:eastAsia="仿宋" w:hAnsi="仿宋" w:hint="eastAsia"/>
          <w:sz w:val="32"/>
          <w:szCs w:val="32"/>
        </w:rPr>
        <w:t>；</w:t>
      </w:r>
      <w:r>
        <w:rPr>
          <w:rFonts w:ascii="仿宋" w:eastAsia="仿宋" w:hAnsi="仿宋" w:hint="eastAsia"/>
          <w:b/>
          <w:sz w:val="32"/>
          <w:szCs w:val="32"/>
        </w:rPr>
        <w:t>农林水支出</w:t>
      </w:r>
      <w:r>
        <w:rPr>
          <w:rFonts w:ascii="仿宋" w:eastAsia="仿宋" w:hAnsi="仿宋" w:hint="eastAsia"/>
          <w:b/>
          <w:bCs/>
          <w:sz w:val="32"/>
          <w:szCs w:val="32"/>
        </w:rPr>
        <w:t>（类）</w:t>
      </w:r>
      <w:r>
        <w:rPr>
          <w:rFonts w:ascii="仿宋" w:eastAsia="仿宋" w:hAnsi="仿宋" w:hint="eastAsia"/>
          <w:sz w:val="32"/>
          <w:szCs w:val="32"/>
        </w:rPr>
        <w:t>160.21万元</w:t>
      </w:r>
      <w:r>
        <w:rPr>
          <w:rFonts w:ascii="仿宋" w:eastAsia="仿宋" w:hAnsi="仿宋"/>
          <w:sz w:val="32"/>
          <w:szCs w:val="32"/>
        </w:rPr>
        <w:t>，占</w:t>
      </w:r>
      <w:r>
        <w:rPr>
          <w:rFonts w:ascii="仿宋" w:eastAsia="仿宋" w:hAnsi="仿宋" w:hint="eastAsia"/>
          <w:sz w:val="32"/>
          <w:szCs w:val="32"/>
        </w:rPr>
        <w:t>78.66</w:t>
      </w:r>
      <w:r>
        <w:rPr>
          <w:rFonts w:ascii="仿宋" w:eastAsia="仿宋" w:hAnsi="仿宋"/>
          <w:sz w:val="32"/>
          <w:szCs w:val="32"/>
        </w:rPr>
        <w:t>%</w:t>
      </w:r>
      <w:r>
        <w:rPr>
          <w:rFonts w:ascii="仿宋" w:eastAsia="仿宋" w:hAnsi="仿宋" w:hint="eastAsia"/>
          <w:sz w:val="32"/>
          <w:szCs w:val="32"/>
        </w:rPr>
        <w:t>。</w:t>
      </w:r>
    </w:p>
    <w:p w:rsidR="00FF2186" w:rsidRDefault="00EF30F0">
      <w:pPr>
        <w:spacing w:line="600" w:lineRule="exact"/>
        <w:ind w:firstLineChars="200" w:firstLine="640"/>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65408" behindDoc="1" locked="0" layoutInCell="1" allowOverlap="1">
            <wp:simplePos x="0" y="0"/>
            <wp:positionH relativeFrom="column">
              <wp:posOffset>182880</wp:posOffset>
            </wp:positionH>
            <wp:positionV relativeFrom="paragraph">
              <wp:posOffset>480060</wp:posOffset>
            </wp:positionV>
            <wp:extent cx="5274310" cy="3076575"/>
            <wp:effectExtent l="0" t="0" r="2540" b="9525"/>
            <wp:wrapTight wrapText="bothSides">
              <wp:wrapPolygon edited="0">
                <wp:start x="0" y="0"/>
                <wp:lineTo x="0" y="21533"/>
                <wp:lineTo x="21532" y="21533"/>
                <wp:lineTo x="21532" y="0"/>
                <wp:lineTo x="0" y="0"/>
              </wp:wrapPolygon>
            </wp:wrapTight>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仿宋" w:eastAsia="仿宋" w:hAnsi="仿宋" w:hint="eastAsia"/>
          <w:sz w:val="32"/>
          <w:szCs w:val="32"/>
        </w:rPr>
        <w:t>（图6：一般公共预算财政拨款支出决算结构）（饼状图）</w:t>
      </w:r>
    </w:p>
    <w:p w:rsidR="00FF2186" w:rsidRDefault="00EF30F0">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FF2186" w:rsidRDefault="00EF30F0">
      <w:pPr>
        <w:spacing w:line="600" w:lineRule="exact"/>
        <w:ind w:firstLineChars="200" w:firstLine="643"/>
        <w:outlineLvl w:val="2"/>
        <w:rPr>
          <w:rFonts w:ascii="仿宋" w:eastAsia="仿宋" w:hAnsi="仿宋"/>
          <w:sz w:val="32"/>
          <w:szCs w:val="32"/>
        </w:rPr>
      </w:pPr>
      <w:bookmarkStart w:id="31" w:name="_Toc15377444"/>
      <w:bookmarkStart w:id="32" w:name="_Toc15378460"/>
      <w:bookmarkStart w:id="33" w:name="_Toc15377213"/>
      <w:r>
        <w:rPr>
          <w:rFonts w:ascii="仿宋" w:eastAsia="仿宋" w:hAnsi="仿宋" w:hint="eastAsia"/>
          <w:b/>
          <w:sz w:val="32"/>
          <w:szCs w:val="32"/>
        </w:rPr>
        <w:t>2022年一般公共预算支出决算数为</w:t>
      </w:r>
      <w:r>
        <w:rPr>
          <w:rFonts w:ascii="仿宋" w:eastAsia="仿宋" w:hAnsi="仿宋"/>
          <w:b/>
          <w:sz w:val="32"/>
          <w:szCs w:val="32"/>
        </w:rPr>
        <w:t>203.68</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bCs/>
          <w:sz w:val="32"/>
          <w:szCs w:val="32"/>
        </w:rPr>
        <w:t>100%</w:t>
      </w:r>
      <w:r>
        <w:rPr>
          <w:rStyle w:val="a7"/>
          <w:rFonts w:ascii="仿宋" w:eastAsia="仿宋" w:hAnsi="仿宋" w:hint="eastAsia"/>
          <w:bCs/>
          <w:sz w:val="32"/>
          <w:szCs w:val="32"/>
        </w:rPr>
        <w:t>。其中：</w:t>
      </w:r>
      <w:bookmarkEnd w:id="31"/>
      <w:bookmarkEnd w:id="32"/>
      <w:bookmarkEnd w:id="33"/>
    </w:p>
    <w:p w:rsidR="00FF2186" w:rsidRDefault="00EF30F0">
      <w:pPr>
        <w:spacing w:line="600" w:lineRule="exact"/>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1.社会保障和就业（类）行政事业单位养老支出（款）行政单位离退休（项）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b w:val="0"/>
          <w:bCs/>
          <w:sz w:val="32"/>
          <w:szCs w:val="32"/>
        </w:rPr>
        <w:t>15.2</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EF30F0">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Pr>
          <w:rStyle w:val="a7"/>
          <w:rFonts w:ascii="仿宋" w:eastAsia="仿宋" w:hAnsi="仿宋" w:hint="eastAsia"/>
          <w:bCs/>
          <w:sz w:val="32"/>
          <w:szCs w:val="32"/>
        </w:rPr>
        <w:t>社会保障和就业（类）行政事业单位养老支出（款）事业单位离退休（项）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b w:val="0"/>
          <w:bCs/>
          <w:sz w:val="32"/>
          <w:szCs w:val="32"/>
        </w:rPr>
        <w:t>1.5</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EF30F0">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Pr>
          <w:rStyle w:val="a7"/>
          <w:rFonts w:ascii="仿宋" w:eastAsia="仿宋" w:hAnsi="仿宋" w:hint="eastAsia"/>
          <w:bCs/>
          <w:sz w:val="32"/>
          <w:szCs w:val="32"/>
        </w:rPr>
        <w:t>社会保障和就业（类）行政事业单位养老支出（款）机关事业单位基本养老保险缴费支出（项）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b w:val="0"/>
          <w:bCs/>
          <w:sz w:val="32"/>
          <w:szCs w:val="32"/>
        </w:rPr>
        <w:t>11.47</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EF30F0">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Pr>
          <w:rFonts w:ascii="仿宋" w:eastAsia="仿宋" w:hAnsi="仿宋" w:hint="eastAsia"/>
          <w:b/>
          <w:bCs/>
          <w:sz w:val="32"/>
          <w:szCs w:val="32"/>
        </w:rPr>
        <w:t>农林水</w:t>
      </w:r>
      <w:r>
        <w:rPr>
          <w:rStyle w:val="a7"/>
          <w:rFonts w:ascii="仿宋" w:eastAsia="仿宋" w:hAnsi="仿宋" w:hint="eastAsia"/>
          <w:bCs/>
          <w:sz w:val="32"/>
          <w:szCs w:val="32"/>
        </w:rPr>
        <w:t>（类）林业和草原（款）行政运行（项）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b w:val="0"/>
          <w:bCs/>
          <w:sz w:val="32"/>
          <w:szCs w:val="32"/>
        </w:rPr>
        <w:t>148.86</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EF30F0">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5.</w:t>
      </w:r>
      <w:r>
        <w:rPr>
          <w:rFonts w:ascii="仿宋" w:eastAsia="仿宋" w:hAnsi="仿宋" w:hint="eastAsia"/>
          <w:b/>
          <w:bCs/>
          <w:sz w:val="32"/>
          <w:szCs w:val="32"/>
        </w:rPr>
        <w:t>农林水</w:t>
      </w:r>
      <w:r>
        <w:rPr>
          <w:rStyle w:val="a7"/>
          <w:rFonts w:ascii="仿宋" w:eastAsia="仿宋" w:hAnsi="仿宋" w:hint="eastAsia"/>
          <w:bCs/>
          <w:sz w:val="32"/>
          <w:szCs w:val="32"/>
        </w:rPr>
        <w:t>（类）林业和草原（款）林业草原防灾减灾（项）</w:t>
      </w:r>
      <w:r>
        <w:rPr>
          <w:rStyle w:val="a7"/>
          <w:rFonts w:ascii="仿宋" w:eastAsia="仿宋" w:hAnsi="仿宋"/>
          <w:bCs/>
          <w:sz w:val="32"/>
          <w:szCs w:val="32"/>
        </w:rPr>
        <w:t>:</w:t>
      </w:r>
      <w:r>
        <w:rPr>
          <w:rStyle w:val="a7"/>
          <w:rFonts w:ascii="仿宋" w:eastAsia="仿宋" w:hAnsi="仿宋" w:hint="eastAsia"/>
          <w:b w:val="0"/>
          <w:bCs/>
          <w:sz w:val="32"/>
          <w:szCs w:val="32"/>
        </w:rPr>
        <w:lastRenderedPageBreak/>
        <w:t>支出决算为</w:t>
      </w:r>
      <w:r>
        <w:rPr>
          <w:rStyle w:val="a7"/>
          <w:rFonts w:ascii="仿宋" w:eastAsia="仿宋" w:hAnsi="仿宋"/>
          <w:b w:val="0"/>
          <w:bCs/>
          <w:sz w:val="32"/>
          <w:szCs w:val="32"/>
        </w:rPr>
        <w:t>11.35</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EF30F0">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6.</w:t>
      </w: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b w:val="0"/>
          <w:bCs/>
          <w:sz w:val="32"/>
          <w:szCs w:val="32"/>
        </w:rPr>
        <w:t>15.3</w:t>
      </w:r>
      <w:r>
        <w:rPr>
          <w:rStyle w:val="a7"/>
          <w:rFonts w:ascii="仿宋" w:eastAsia="仿宋" w:hAnsi="仿宋" w:hint="eastAsia"/>
          <w:b w:val="0"/>
          <w:bCs/>
          <w:sz w:val="32"/>
          <w:szCs w:val="32"/>
        </w:rPr>
        <w:t>万元，完成预算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p>
    <w:p w:rsidR="00FF2186" w:rsidRDefault="00FF2186">
      <w:pPr>
        <w:tabs>
          <w:tab w:val="right" w:pos="8306"/>
        </w:tabs>
        <w:spacing w:line="600" w:lineRule="exact"/>
        <w:ind w:firstLine="640"/>
        <w:outlineLvl w:val="1"/>
        <w:rPr>
          <w:rFonts w:ascii="黑体" w:eastAsia="黑体"/>
          <w:sz w:val="32"/>
          <w:szCs w:val="32"/>
        </w:rPr>
      </w:pPr>
      <w:bookmarkStart w:id="34" w:name="_Toc15377214"/>
      <w:bookmarkStart w:id="35" w:name="_Toc15396608"/>
    </w:p>
    <w:p w:rsidR="00FF2186" w:rsidRDefault="00EF30F0">
      <w:pPr>
        <w:tabs>
          <w:tab w:val="right" w:pos="8306"/>
        </w:tabs>
        <w:spacing w:line="600" w:lineRule="exact"/>
        <w:ind w:firstLine="640"/>
        <w:outlineLvl w:val="1"/>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FF2186" w:rsidRDefault="00EF30F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Pr>
          <w:rFonts w:ascii="仿宋" w:eastAsia="仿宋" w:hAnsi="仿宋"/>
          <w:sz w:val="32"/>
          <w:szCs w:val="32"/>
        </w:rPr>
        <w:t>192.33</w:t>
      </w:r>
      <w:r>
        <w:rPr>
          <w:rFonts w:ascii="仿宋" w:eastAsia="仿宋" w:hAnsi="仿宋" w:hint="eastAsia"/>
          <w:sz w:val="32"/>
          <w:szCs w:val="32"/>
        </w:rPr>
        <w:t>万元，其中：</w:t>
      </w:r>
    </w:p>
    <w:p w:rsidR="00FF2186" w:rsidRDefault="00EF30F0">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177.56</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万元，主要包括：基本工资、津贴补贴、奖金、伙食补助费、绩效工资、机关事业单位基本养老保险缴费、职业年金缴费、其他社会保障缴费、其他工资福利支出、生活补助、医疗费补助、住房公积金。</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14.77</w:t>
      </w:r>
      <w:r>
        <w:rPr>
          <w:rFonts w:ascii="仿宋" w:eastAsia="仿宋" w:hAnsi="仿宋" w:hint="eastAsia"/>
          <w:sz w:val="32"/>
          <w:szCs w:val="32"/>
        </w:rPr>
        <w:t>万元，主要包括：办公费、水费、电费、差旅费、公务接待费、工会经费、福利费、公务用车运行维护费、其他交通费、其他商品和服务支出。</w:t>
      </w:r>
    </w:p>
    <w:p w:rsidR="00FF2186" w:rsidRDefault="00FF2186">
      <w:pPr>
        <w:spacing w:line="600" w:lineRule="exact"/>
        <w:ind w:firstLine="640"/>
        <w:rPr>
          <w:rFonts w:ascii="仿宋" w:eastAsia="仿宋" w:hAnsi="仿宋"/>
          <w:b/>
          <w:sz w:val="32"/>
          <w:szCs w:val="32"/>
        </w:rPr>
      </w:pPr>
    </w:p>
    <w:p w:rsidR="00FF2186" w:rsidRDefault="00EF30F0">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FF2186" w:rsidRDefault="00EF30F0">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FF2186" w:rsidRDefault="00EF30F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Pr>
          <w:rFonts w:ascii="仿宋" w:eastAsia="仿宋" w:hAnsi="仿宋"/>
          <w:sz w:val="32"/>
          <w:szCs w:val="32"/>
        </w:rPr>
        <w:t>1.17</w:t>
      </w:r>
      <w:r>
        <w:rPr>
          <w:rFonts w:ascii="仿宋" w:eastAsia="仿宋" w:hAnsi="仿宋" w:hint="eastAsia"/>
          <w:sz w:val="32"/>
          <w:szCs w:val="32"/>
        </w:rPr>
        <w:t>万元，完成预算</w:t>
      </w:r>
      <w:r>
        <w:rPr>
          <w:rFonts w:ascii="仿宋" w:eastAsia="仿宋" w:hAnsi="仿宋"/>
          <w:sz w:val="32"/>
          <w:szCs w:val="32"/>
        </w:rPr>
        <w:t>14.44%</w:t>
      </w:r>
      <w:r>
        <w:rPr>
          <w:rFonts w:ascii="仿宋" w:eastAsia="仿宋" w:hAnsi="仿宋" w:hint="eastAsia"/>
          <w:sz w:val="32"/>
          <w:szCs w:val="32"/>
        </w:rPr>
        <w:t>，较上年减少</w:t>
      </w:r>
      <w:r>
        <w:rPr>
          <w:rFonts w:ascii="仿宋" w:eastAsia="仿宋" w:hAnsi="仿宋"/>
          <w:sz w:val="32"/>
          <w:szCs w:val="32"/>
        </w:rPr>
        <w:t>3.08</w:t>
      </w:r>
      <w:r>
        <w:rPr>
          <w:rFonts w:ascii="仿宋" w:eastAsia="仿宋" w:hAnsi="仿宋" w:hint="eastAsia"/>
          <w:sz w:val="32"/>
          <w:szCs w:val="32"/>
        </w:rPr>
        <w:t>万元，下降</w:t>
      </w:r>
      <w:r>
        <w:rPr>
          <w:rFonts w:ascii="仿宋" w:eastAsia="仿宋" w:hAnsi="仿宋"/>
          <w:sz w:val="32"/>
          <w:szCs w:val="32"/>
        </w:rPr>
        <w:t>72.47</w:t>
      </w:r>
      <w:r>
        <w:rPr>
          <w:rFonts w:ascii="仿宋" w:eastAsia="仿宋" w:hAnsi="仿宋" w:hint="eastAsia"/>
          <w:sz w:val="32"/>
          <w:szCs w:val="32"/>
        </w:rPr>
        <w:t>%。决算数小于预算数的主要原因是财政支付</w:t>
      </w:r>
      <w:r>
        <w:rPr>
          <w:rFonts w:ascii="仿宋" w:eastAsia="仿宋" w:hAnsi="仿宋"/>
          <w:sz w:val="32"/>
          <w:szCs w:val="32"/>
        </w:rPr>
        <w:t>压力，</w:t>
      </w:r>
      <w:r>
        <w:rPr>
          <w:rFonts w:ascii="仿宋" w:eastAsia="仿宋" w:hAnsi="仿宋" w:hint="eastAsia"/>
          <w:sz w:val="32"/>
          <w:szCs w:val="32"/>
        </w:rPr>
        <w:t>“三公”</w:t>
      </w:r>
      <w:bookmarkStart w:id="39" w:name="_GoBack"/>
      <w:bookmarkEnd w:id="39"/>
      <w:r>
        <w:rPr>
          <w:rFonts w:ascii="仿宋" w:eastAsia="仿宋" w:hAnsi="仿宋" w:hint="eastAsia"/>
          <w:sz w:val="32"/>
          <w:szCs w:val="32"/>
        </w:rPr>
        <w:t>经费费用转</w:t>
      </w:r>
      <w:r>
        <w:rPr>
          <w:rFonts w:ascii="仿宋" w:eastAsia="仿宋" w:hAnsi="仿宋"/>
          <w:sz w:val="32"/>
          <w:szCs w:val="32"/>
        </w:rPr>
        <w:t>至</w:t>
      </w:r>
      <w:r>
        <w:rPr>
          <w:rFonts w:ascii="仿宋" w:eastAsia="仿宋" w:hAnsi="仿宋" w:hint="eastAsia"/>
          <w:sz w:val="32"/>
          <w:szCs w:val="32"/>
        </w:rPr>
        <w:t>2023年</w:t>
      </w:r>
      <w:r>
        <w:rPr>
          <w:rFonts w:ascii="仿宋" w:eastAsia="仿宋" w:hAnsi="仿宋"/>
          <w:sz w:val="32"/>
          <w:szCs w:val="32"/>
        </w:rPr>
        <w:t>支付</w:t>
      </w:r>
      <w:r>
        <w:rPr>
          <w:rFonts w:ascii="仿宋" w:eastAsia="仿宋" w:hAnsi="仿宋" w:hint="eastAsia"/>
          <w:sz w:val="32"/>
          <w:szCs w:val="32"/>
        </w:rPr>
        <w:t>。</w:t>
      </w:r>
    </w:p>
    <w:p w:rsidR="00FF2186" w:rsidRDefault="00EF30F0">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FF2186" w:rsidRDefault="00EF30F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w:t>
      </w:r>
      <w:r>
        <w:rPr>
          <w:rFonts w:ascii="仿宋" w:eastAsia="仿宋" w:hAnsi="仿宋" w:hint="eastAsia"/>
          <w:sz w:val="32"/>
          <w:szCs w:val="32"/>
        </w:rPr>
        <w:lastRenderedPageBreak/>
        <w:t>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1.06</w:t>
      </w:r>
      <w:r>
        <w:rPr>
          <w:rFonts w:ascii="仿宋" w:eastAsia="仿宋" w:hAnsi="仿宋" w:hint="eastAsia"/>
          <w:sz w:val="32"/>
          <w:szCs w:val="32"/>
        </w:rPr>
        <w:t>万元，占</w:t>
      </w:r>
      <w:r>
        <w:rPr>
          <w:rFonts w:ascii="仿宋" w:eastAsia="仿宋" w:hAnsi="仿宋"/>
          <w:sz w:val="32"/>
          <w:szCs w:val="32"/>
        </w:rPr>
        <w:t>90.60%</w:t>
      </w:r>
      <w:r>
        <w:rPr>
          <w:rFonts w:ascii="仿宋" w:eastAsia="仿宋" w:hAnsi="仿宋" w:hint="eastAsia"/>
          <w:sz w:val="32"/>
          <w:szCs w:val="32"/>
        </w:rPr>
        <w:t>；公务接待费支出决算</w:t>
      </w:r>
      <w:r>
        <w:rPr>
          <w:rFonts w:ascii="仿宋" w:eastAsia="仿宋" w:hAnsi="仿宋"/>
          <w:sz w:val="32"/>
          <w:szCs w:val="32"/>
        </w:rPr>
        <w:t>0.11</w:t>
      </w:r>
      <w:r>
        <w:rPr>
          <w:rFonts w:ascii="仿宋" w:eastAsia="仿宋" w:hAnsi="仿宋" w:hint="eastAsia"/>
          <w:sz w:val="32"/>
          <w:szCs w:val="32"/>
        </w:rPr>
        <w:t>万元，占</w:t>
      </w:r>
      <w:r>
        <w:rPr>
          <w:rFonts w:ascii="仿宋" w:eastAsia="仿宋" w:hAnsi="仿宋"/>
          <w:sz w:val="32"/>
          <w:szCs w:val="32"/>
        </w:rPr>
        <w:t>9.4%</w:t>
      </w:r>
      <w:r>
        <w:rPr>
          <w:rFonts w:ascii="仿宋" w:eastAsia="仿宋" w:hAnsi="仿宋" w:hint="eastAsia"/>
          <w:sz w:val="32"/>
          <w:szCs w:val="32"/>
        </w:rPr>
        <w:t>。具体情况如下：</w:t>
      </w:r>
    </w:p>
    <w:p w:rsidR="00FF2186" w:rsidRDefault="00EF30F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FF2186" w:rsidRDefault="00EF30F0">
      <w:pPr>
        <w:pStyle w:val="a0"/>
        <w:spacing w:before="93"/>
      </w:pPr>
      <w:r>
        <w:rPr>
          <w:rFonts w:hint="eastAsia"/>
          <w:noProof/>
        </w:rPr>
        <w:drawing>
          <wp:inline distT="0" distB="0" distL="0" distR="0">
            <wp:extent cx="5274310" cy="3076575"/>
            <wp:effectExtent l="0" t="0" r="254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2186" w:rsidRDefault="00EF30F0">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w:t>
      </w:r>
    </w:p>
    <w:p w:rsidR="00FF2186" w:rsidRDefault="00EF30F0">
      <w:pPr>
        <w:spacing w:line="600" w:lineRule="exact"/>
        <w:ind w:firstLine="640"/>
        <w:rPr>
          <w:rFonts w:ascii="仿宋" w:eastAsia="仿宋" w:hAnsi="仿宋"/>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1.06</w:t>
      </w:r>
      <w:r>
        <w:rPr>
          <w:rFonts w:ascii="仿宋_GB2312" w:eastAsia="仿宋_GB2312" w:hint="eastAsia"/>
          <w:sz w:val="32"/>
          <w:szCs w:val="32"/>
        </w:rPr>
        <w:t>万元,</w:t>
      </w:r>
      <w:r>
        <w:rPr>
          <w:rStyle w:val="a7"/>
          <w:rFonts w:ascii="仿宋" w:eastAsia="仿宋" w:hAnsi="仿宋" w:hint="eastAsia"/>
          <w:b w:val="0"/>
          <w:bCs/>
          <w:sz w:val="32"/>
          <w:szCs w:val="32"/>
        </w:rPr>
        <w:t>完成预算13.32</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21年减少</w:t>
      </w:r>
      <w:r>
        <w:rPr>
          <w:rFonts w:ascii="仿宋_GB2312" w:eastAsia="仿宋_GB2312"/>
          <w:sz w:val="32"/>
          <w:szCs w:val="32"/>
        </w:rPr>
        <w:t>3.19</w:t>
      </w:r>
      <w:r>
        <w:rPr>
          <w:rFonts w:ascii="仿宋_GB2312" w:eastAsia="仿宋_GB2312" w:hint="eastAsia"/>
          <w:sz w:val="32"/>
          <w:szCs w:val="32"/>
        </w:rPr>
        <w:t>万元，下降</w:t>
      </w:r>
      <w:r>
        <w:rPr>
          <w:rFonts w:ascii="仿宋_GB2312" w:eastAsia="仿宋_GB2312"/>
          <w:sz w:val="32"/>
          <w:szCs w:val="32"/>
        </w:rPr>
        <w:t>75.06%</w:t>
      </w:r>
      <w:r>
        <w:rPr>
          <w:rFonts w:ascii="仿宋_GB2312" w:eastAsia="仿宋_GB2312" w:hint="eastAsia"/>
          <w:sz w:val="32"/>
          <w:szCs w:val="32"/>
        </w:rPr>
        <w:t>。主要原因是</w:t>
      </w:r>
      <w:r>
        <w:rPr>
          <w:rFonts w:ascii="仿宋" w:eastAsia="仿宋" w:hAnsi="仿宋" w:hint="eastAsia"/>
          <w:sz w:val="32"/>
          <w:szCs w:val="32"/>
        </w:rPr>
        <w:t>财政支付</w:t>
      </w:r>
      <w:r>
        <w:rPr>
          <w:rFonts w:ascii="仿宋" w:eastAsia="仿宋" w:hAnsi="仿宋"/>
          <w:sz w:val="32"/>
          <w:szCs w:val="32"/>
        </w:rPr>
        <w:t>压力，</w:t>
      </w:r>
      <w:r>
        <w:rPr>
          <w:rFonts w:ascii="仿宋" w:eastAsia="仿宋" w:hAnsi="仿宋" w:hint="eastAsia"/>
          <w:sz w:val="32"/>
          <w:szCs w:val="32"/>
        </w:rPr>
        <w:t>费用转</w:t>
      </w:r>
      <w:r>
        <w:rPr>
          <w:rFonts w:ascii="仿宋" w:eastAsia="仿宋" w:hAnsi="仿宋"/>
          <w:sz w:val="32"/>
          <w:szCs w:val="32"/>
        </w:rPr>
        <w:t>至</w:t>
      </w:r>
      <w:r>
        <w:rPr>
          <w:rFonts w:ascii="仿宋" w:eastAsia="仿宋" w:hAnsi="仿宋" w:hint="eastAsia"/>
          <w:sz w:val="32"/>
          <w:szCs w:val="32"/>
        </w:rPr>
        <w:t>2023年</w:t>
      </w:r>
      <w:r>
        <w:rPr>
          <w:rFonts w:ascii="仿宋" w:eastAsia="仿宋" w:hAnsi="仿宋"/>
          <w:sz w:val="32"/>
          <w:szCs w:val="32"/>
        </w:rPr>
        <w:t>支付</w:t>
      </w:r>
      <w:r>
        <w:rPr>
          <w:rFonts w:ascii="仿宋" w:eastAsia="仿宋" w:hAnsi="仿宋" w:hint="eastAsia"/>
          <w:sz w:val="32"/>
          <w:szCs w:val="32"/>
        </w:rPr>
        <w:t>。</w:t>
      </w:r>
    </w:p>
    <w:p w:rsidR="00FF2186" w:rsidRDefault="00EF30F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2</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2</w:t>
      </w:r>
      <w:r>
        <w:rPr>
          <w:rFonts w:ascii="仿宋_GB2312" w:eastAsia="仿宋_GB2312" w:hint="eastAsia"/>
          <w:sz w:val="32"/>
          <w:szCs w:val="32"/>
        </w:rPr>
        <w:lastRenderedPageBreak/>
        <w:t>辆、载客汽车</w:t>
      </w:r>
      <w:r>
        <w:rPr>
          <w:rFonts w:ascii="仿宋_GB2312" w:eastAsia="仿宋_GB2312"/>
          <w:sz w:val="32"/>
          <w:szCs w:val="32"/>
        </w:rPr>
        <w:t>0</w:t>
      </w:r>
      <w:r>
        <w:rPr>
          <w:rFonts w:ascii="仿宋_GB2312" w:eastAsia="仿宋_GB2312" w:hint="eastAsia"/>
          <w:sz w:val="32"/>
          <w:szCs w:val="32"/>
        </w:rPr>
        <w:t>辆。</w:t>
      </w:r>
    </w:p>
    <w:p w:rsidR="00FF2186" w:rsidRDefault="00EF30F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1.06</w:t>
      </w:r>
      <w:r>
        <w:rPr>
          <w:rFonts w:ascii="仿宋_GB2312" w:eastAsia="仿宋_GB2312" w:hint="eastAsia"/>
          <w:sz w:val="32"/>
          <w:szCs w:val="32"/>
        </w:rPr>
        <w:t>万元。主要用于松材线虫病等</w:t>
      </w:r>
      <w:r>
        <w:rPr>
          <w:rFonts w:ascii="仿宋_GB2312" w:eastAsia="仿宋_GB2312"/>
          <w:sz w:val="32"/>
          <w:szCs w:val="32"/>
        </w:rPr>
        <w:t>林业有害生物</w:t>
      </w:r>
      <w:r>
        <w:rPr>
          <w:rFonts w:ascii="仿宋_GB2312" w:eastAsia="仿宋_GB2312" w:hint="eastAsia"/>
          <w:sz w:val="32"/>
          <w:szCs w:val="32"/>
        </w:rPr>
        <w:t>监测</w:t>
      </w:r>
      <w:r>
        <w:rPr>
          <w:rFonts w:ascii="仿宋_GB2312" w:eastAsia="仿宋_GB2312"/>
          <w:sz w:val="32"/>
          <w:szCs w:val="32"/>
        </w:rPr>
        <w:t>、防治、检疫</w:t>
      </w:r>
      <w:r>
        <w:rPr>
          <w:rFonts w:ascii="仿宋_GB2312" w:eastAsia="仿宋_GB2312" w:hint="eastAsia"/>
          <w:sz w:val="32"/>
          <w:szCs w:val="32"/>
        </w:rPr>
        <w:t>等所需的公务用车燃料费、维修费、过路过桥费、保险费等支出。</w:t>
      </w:r>
    </w:p>
    <w:p w:rsidR="00FF2186" w:rsidRDefault="00EF30F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0.11</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b w:val="0"/>
          <w:bCs/>
          <w:sz w:val="32"/>
          <w:szCs w:val="32"/>
        </w:rPr>
        <w:t>100%</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0.11</w:t>
      </w:r>
      <w:r>
        <w:rPr>
          <w:rFonts w:ascii="仿宋_GB2312" w:eastAsia="仿宋_GB2312" w:hint="eastAsia"/>
          <w:sz w:val="32"/>
          <w:szCs w:val="32"/>
        </w:rPr>
        <w:t>万元，增长</w:t>
      </w:r>
      <w:r>
        <w:rPr>
          <w:rFonts w:ascii="仿宋_GB2312" w:eastAsia="仿宋_GB2312"/>
          <w:sz w:val="32"/>
          <w:szCs w:val="32"/>
        </w:rPr>
        <w:t>100%</w:t>
      </w:r>
      <w:r>
        <w:rPr>
          <w:rFonts w:ascii="仿宋_GB2312" w:eastAsia="仿宋_GB2312" w:hint="eastAsia"/>
          <w:sz w:val="32"/>
          <w:szCs w:val="32"/>
        </w:rPr>
        <w:t>。主要原因是2</w:t>
      </w:r>
      <w:r>
        <w:rPr>
          <w:rFonts w:ascii="仿宋_GB2312" w:eastAsia="仿宋_GB2312"/>
          <w:sz w:val="32"/>
          <w:szCs w:val="32"/>
        </w:rPr>
        <w:t>021</w:t>
      </w:r>
      <w:r>
        <w:rPr>
          <w:rFonts w:ascii="仿宋_GB2312" w:eastAsia="仿宋_GB2312" w:hint="eastAsia"/>
          <w:sz w:val="32"/>
          <w:szCs w:val="32"/>
        </w:rPr>
        <w:t>年未</w:t>
      </w:r>
      <w:r>
        <w:rPr>
          <w:rFonts w:ascii="仿宋_GB2312" w:eastAsia="仿宋_GB2312"/>
          <w:sz w:val="32"/>
          <w:szCs w:val="32"/>
        </w:rPr>
        <w:t>产生公务接待</w:t>
      </w:r>
      <w:r>
        <w:rPr>
          <w:rFonts w:ascii="仿宋_GB2312" w:eastAsia="仿宋_GB2312" w:hint="eastAsia"/>
          <w:sz w:val="32"/>
          <w:szCs w:val="32"/>
        </w:rPr>
        <w:t>、2023年</w:t>
      </w:r>
      <w:r>
        <w:rPr>
          <w:rFonts w:ascii="仿宋_GB2312" w:eastAsia="仿宋_GB2312"/>
          <w:sz w:val="32"/>
          <w:szCs w:val="32"/>
        </w:rPr>
        <w:t>产生公务</w:t>
      </w:r>
      <w:r>
        <w:rPr>
          <w:rFonts w:ascii="仿宋_GB2312" w:eastAsia="仿宋_GB2312" w:hint="eastAsia"/>
          <w:sz w:val="32"/>
          <w:szCs w:val="32"/>
        </w:rPr>
        <w:t>接待。其中：</w:t>
      </w:r>
    </w:p>
    <w:p w:rsidR="00FF2186" w:rsidRDefault="00EF30F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0.11</w:t>
      </w:r>
      <w:r>
        <w:rPr>
          <w:rFonts w:ascii="仿宋_GB2312" w:eastAsia="仿宋_GB2312" w:hint="eastAsia"/>
          <w:sz w:val="32"/>
          <w:szCs w:val="32"/>
        </w:rPr>
        <w:t>万元，主要用于执行公务、开展业务活动开支的用餐费。国内公务接待</w:t>
      </w:r>
      <w:r>
        <w:rPr>
          <w:rFonts w:ascii="仿宋_GB2312" w:eastAsia="仿宋_GB2312"/>
          <w:sz w:val="32"/>
          <w:szCs w:val="32"/>
        </w:rPr>
        <w:t>1</w:t>
      </w:r>
      <w:r>
        <w:rPr>
          <w:rFonts w:ascii="仿宋_GB2312" w:eastAsia="仿宋_GB2312" w:hint="eastAsia"/>
          <w:sz w:val="32"/>
          <w:szCs w:val="32"/>
        </w:rPr>
        <w:t>批次，</w:t>
      </w:r>
      <w:r>
        <w:rPr>
          <w:rFonts w:ascii="仿宋_GB2312" w:eastAsia="仿宋_GB2312"/>
          <w:sz w:val="32"/>
          <w:szCs w:val="32"/>
        </w:rPr>
        <w:t>1</w:t>
      </w:r>
      <w:r>
        <w:rPr>
          <w:rFonts w:ascii="仿宋_GB2312" w:eastAsia="仿宋_GB2312" w:hint="eastAsia"/>
          <w:sz w:val="32"/>
          <w:szCs w:val="32"/>
        </w:rPr>
        <w:t>人次（不包括陪同人员），共计支出</w:t>
      </w:r>
      <w:r>
        <w:rPr>
          <w:rFonts w:ascii="仿宋_GB2312" w:eastAsia="仿宋_GB2312"/>
          <w:sz w:val="32"/>
          <w:szCs w:val="32"/>
        </w:rPr>
        <w:t>0.11</w:t>
      </w:r>
      <w:r>
        <w:rPr>
          <w:rFonts w:ascii="仿宋_GB2312" w:eastAsia="仿宋_GB2312" w:hint="eastAsia"/>
          <w:sz w:val="32"/>
          <w:szCs w:val="32"/>
        </w:rPr>
        <w:t>万元，具体内容包括：用餐费0.11万元）。</w:t>
      </w:r>
    </w:p>
    <w:p w:rsidR="00747C1E" w:rsidRDefault="00EF30F0" w:rsidP="00747C1E">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bookmarkStart w:id="41" w:name="_Toc15377218"/>
      <w:bookmarkStart w:id="42" w:name="_Toc15396610"/>
      <w:r w:rsidR="00747C1E">
        <w:rPr>
          <w:rFonts w:ascii="仿宋_GB2312" w:eastAsia="仿宋_GB2312" w:hint="eastAsia"/>
          <w:sz w:val="32"/>
          <w:szCs w:val="32"/>
        </w:rPr>
        <w:t>万元。外事接待0批次，0人次（不包括陪同人员），共计支出0万元。</w:t>
      </w:r>
    </w:p>
    <w:p w:rsidR="00FF2186" w:rsidRPr="00747C1E" w:rsidRDefault="00FF2186" w:rsidP="00747C1E">
      <w:pPr>
        <w:spacing w:line="600" w:lineRule="exact"/>
        <w:ind w:firstLineChars="200" w:firstLine="640"/>
        <w:rPr>
          <w:rFonts w:ascii="黑体" w:eastAsia="黑体"/>
          <w:sz w:val="32"/>
          <w:szCs w:val="32"/>
        </w:rPr>
      </w:pPr>
    </w:p>
    <w:p w:rsidR="00FF2186" w:rsidRDefault="00EF30F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F2186" w:rsidRDefault="00EF30F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Pr>
          <w:rFonts w:ascii="仿宋_GB2312" w:eastAsia="仿宋_GB2312"/>
          <w:sz w:val="32"/>
          <w:szCs w:val="32"/>
        </w:rPr>
        <w:t>0</w:t>
      </w:r>
      <w:r>
        <w:rPr>
          <w:rFonts w:ascii="仿宋_GB2312" w:eastAsia="仿宋_GB2312" w:hint="eastAsia"/>
          <w:sz w:val="32"/>
          <w:szCs w:val="32"/>
        </w:rPr>
        <w:t>万元。</w:t>
      </w:r>
    </w:p>
    <w:p w:rsidR="00FF2186" w:rsidRDefault="00FF2186">
      <w:pPr>
        <w:spacing w:line="600" w:lineRule="exact"/>
        <w:ind w:firstLine="640"/>
        <w:rPr>
          <w:rFonts w:ascii="仿宋_GB2312" w:eastAsia="仿宋_GB2312"/>
          <w:sz w:val="32"/>
          <w:szCs w:val="32"/>
        </w:rPr>
      </w:pPr>
    </w:p>
    <w:p w:rsidR="00FF2186" w:rsidRDefault="00EF30F0">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F2186" w:rsidRDefault="00EF30F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Pr>
          <w:rFonts w:ascii="仿宋_GB2312" w:eastAsia="仿宋_GB2312"/>
          <w:sz w:val="32"/>
          <w:szCs w:val="32"/>
        </w:rPr>
        <w:t>0</w:t>
      </w:r>
      <w:r>
        <w:rPr>
          <w:rFonts w:ascii="仿宋_GB2312" w:eastAsia="仿宋_GB2312" w:hint="eastAsia"/>
          <w:sz w:val="32"/>
          <w:szCs w:val="32"/>
        </w:rPr>
        <w:t>万元。</w:t>
      </w:r>
    </w:p>
    <w:p w:rsidR="00FF2186" w:rsidRDefault="00FF2186">
      <w:pPr>
        <w:spacing w:line="580" w:lineRule="exact"/>
        <w:jc w:val="center"/>
        <w:rPr>
          <w:rFonts w:ascii="方正小标宋简体" w:eastAsia="方正小标宋简体" w:hAnsi="方正小标宋简体" w:cs="方正小标宋简体"/>
          <w:sz w:val="44"/>
          <w:szCs w:val="44"/>
        </w:rPr>
      </w:pPr>
    </w:p>
    <w:p w:rsidR="00FF2186" w:rsidRDefault="00EF30F0">
      <w:pPr>
        <w:numPr>
          <w:ilvl w:val="0"/>
          <w:numId w:val="3"/>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FF2186" w:rsidRDefault="00EF30F0">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FF2186" w:rsidRDefault="00EF30F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22年，攀枝花市森林病虫防治检疫站机关运行经费支</w:t>
      </w:r>
      <w:r>
        <w:rPr>
          <w:rFonts w:ascii="仿宋_GB2312" w:eastAsia="仿宋_GB2312" w:hint="eastAsia"/>
          <w:sz w:val="32"/>
          <w:szCs w:val="32"/>
        </w:rPr>
        <w:lastRenderedPageBreak/>
        <w:t>出0万元，比</w:t>
      </w:r>
      <w:r>
        <w:rPr>
          <w:rFonts w:ascii="仿宋_GB2312" w:eastAsia="仿宋_GB2312"/>
          <w:sz w:val="32"/>
          <w:szCs w:val="32"/>
        </w:rPr>
        <w:t>20</w:t>
      </w:r>
      <w:r>
        <w:rPr>
          <w:rFonts w:ascii="仿宋_GB2312" w:eastAsia="仿宋_GB2312" w:hint="eastAsia"/>
          <w:sz w:val="32"/>
          <w:szCs w:val="32"/>
        </w:rPr>
        <w:t>21年增加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w:t>
      </w:r>
      <w:r>
        <w:rPr>
          <w:rFonts w:ascii="仿宋_GB2312" w:eastAsia="仿宋_GB2312" w:hint="eastAsia"/>
          <w:sz w:val="32"/>
          <w:szCs w:val="32"/>
        </w:rPr>
        <w:t>21年决算数持平）。</w:t>
      </w:r>
    </w:p>
    <w:p w:rsidR="00FF2186" w:rsidRDefault="00EF30F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FF2186" w:rsidRDefault="00EF30F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22年，攀枝花市森林病虫防治检疫站政府采购支出总额0万元，其中：政府采购货物支出0万元、政府采购工程支出0万元、政府采购服务支出0万元。授予中小企业合同金额0万元，占政府采购支出总额的0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FF2186" w:rsidRDefault="00EF30F0">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FF2186" w:rsidRDefault="00EF30F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日，攀枝花市森林病虫防治检疫站共有车辆2辆，其中：主要领导干部用车0辆、机要通信用车0辆、应急保障用车0辆、其他用车2辆，其他用车主要是用于松材线虫病等重大林业有害生物监测、防治、检疫。单价</w:t>
      </w:r>
      <w:r>
        <w:rPr>
          <w:rFonts w:ascii="仿宋_GB2312" w:eastAsia="仿宋_GB2312"/>
          <w:sz w:val="32"/>
          <w:szCs w:val="32"/>
        </w:rPr>
        <w:t>100</w:t>
      </w:r>
      <w:r>
        <w:rPr>
          <w:rFonts w:ascii="仿宋_GB2312" w:eastAsia="仿宋_GB2312" w:hint="eastAsia"/>
          <w:sz w:val="32"/>
          <w:szCs w:val="32"/>
        </w:rPr>
        <w:t>万元以上专用设备0台（套）。</w:t>
      </w:r>
    </w:p>
    <w:p w:rsidR="00FF2186" w:rsidRDefault="00EF30F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F2186" w:rsidRDefault="00EF30F0">
      <w:pPr>
        <w:pStyle w:val="a0"/>
        <w:spacing w:before="93"/>
        <w:ind w:firstLineChars="200" w:firstLine="640"/>
        <w:rPr>
          <w:highlight w:val="yellow"/>
        </w:rPr>
      </w:pPr>
      <w:r>
        <w:rPr>
          <w:rFonts w:hAnsi="仿宋_GB2312" w:cs="仿宋_GB2312" w:hint="eastAsia"/>
          <w:sz w:val="32"/>
          <w:szCs w:val="32"/>
        </w:rPr>
        <w:t>根据预算绩效管理要求，本单位在2022年度预算编制阶段，组织对</w:t>
      </w:r>
      <w:r>
        <w:rPr>
          <w:rFonts w:hint="eastAsia"/>
          <w:sz w:val="32"/>
          <w:szCs w:val="32"/>
        </w:rPr>
        <w:t>松材线虫病等重大林业有害生物监测、防治、检疫</w:t>
      </w:r>
      <w:r>
        <w:rPr>
          <w:rFonts w:hAnsi="仿宋_GB2312" w:cs="仿宋_GB2312" w:hint="eastAsia"/>
          <w:sz w:val="32"/>
          <w:szCs w:val="32"/>
        </w:rPr>
        <w:t>项目等1个项目开展了预算事前绩效评估，对1个项目编制了绩效目标，预算执行过程中，选取1个项目开展绩效监控，组织对1个项目开展绩效自评，绩效自评表详见第四部分附件。</w:t>
      </w:r>
    </w:p>
    <w:p w:rsidR="00FF2186" w:rsidRDefault="00EF30F0">
      <w:pPr>
        <w:widowControl/>
        <w:jc w:val="left"/>
        <w:rPr>
          <w:rFonts w:ascii="仿宋_GB2312" w:eastAsia="仿宋_GB2312"/>
          <w:b/>
          <w:sz w:val="32"/>
          <w:szCs w:val="32"/>
        </w:rPr>
      </w:pPr>
      <w:r>
        <w:rPr>
          <w:rFonts w:ascii="仿宋_GB2312" w:eastAsia="仿宋_GB2312"/>
          <w:b/>
          <w:sz w:val="32"/>
          <w:szCs w:val="32"/>
        </w:rPr>
        <w:br w:type="page"/>
      </w:r>
    </w:p>
    <w:p w:rsidR="00FF2186" w:rsidRDefault="00EF30F0">
      <w:pPr>
        <w:numPr>
          <w:ilvl w:val="0"/>
          <w:numId w:val="4"/>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FF2186" w:rsidRDefault="00FF2186">
      <w:pPr>
        <w:spacing w:line="600" w:lineRule="exact"/>
        <w:jc w:val="left"/>
        <w:rPr>
          <w:rFonts w:ascii="宋体"/>
          <w:b/>
          <w:sz w:val="44"/>
          <w:szCs w:val="44"/>
        </w:rPr>
      </w:pPr>
    </w:p>
    <w:p w:rsidR="00FF2186" w:rsidRDefault="00EF30F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F2186" w:rsidRDefault="00EF30F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社会保障和就业（类）行政事业单位养老支出（款）行政单位离退休（项）：指行政人员退休费用。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社会保障和就业（类）行政事业单位养老支出（款）事业单位离退休（项）：指事业人员退休费用。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社会保障和就业（类）行政事业单位养老支出（款）机关事业单位基本养老保险缴费支出（项）：指机关人员养老保险费用。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农林水（类）林业和草原（款）行政运行（项）：指机关日常运行费用。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农林水（类）林业和草原（款）林业草原防灾减灾（项）：指项目支出费用。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住房保障支出（类）住房改革支出（款）住房公积金（项）：指单位人员住房公积金费用。</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FF2186" w:rsidRDefault="00EF30F0">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FF2186" w:rsidRDefault="00EF30F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11</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FF2186" w:rsidRDefault="00EF30F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12</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F2186" w:rsidRDefault="00FF2186">
      <w:pPr>
        <w:pStyle w:val="Default"/>
        <w:spacing w:line="560" w:lineRule="exact"/>
        <w:ind w:firstLineChars="200" w:firstLine="640"/>
        <w:rPr>
          <w:rFonts w:ascii="仿宋_GB2312" w:eastAsia="仿宋_GB2312" w:cs="黑体"/>
          <w:color w:val="auto"/>
          <w:sz w:val="32"/>
          <w:szCs w:val="32"/>
        </w:rPr>
      </w:pPr>
    </w:p>
    <w:p w:rsidR="00FF2186" w:rsidRDefault="00EF30F0">
      <w:pPr>
        <w:spacing w:line="600" w:lineRule="exact"/>
        <w:jc w:val="center"/>
        <w:outlineLvl w:val="0"/>
        <w:rPr>
          <w:rStyle w:val="1Char"/>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四部分附件</w:t>
      </w:r>
      <w:bookmarkEnd w:id="53"/>
    </w:p>
    <w:p w:rsidR="00FF2186" w:rsidRDefault="00FF2186">
      <w:pPr>
        <w:spacing w:line="572" w:lineRule="exact"/>
        <w:jc w:val="left"/>
        <w:outlineLvl w:val="0"/>
        <w:rPr>
          <w:rFonts w:ascii="仿宋_GB2312" w:eastAsia="仿宋_GB2312" w:hAnsi="仿宋_GB2312" w:cs="仿宋_GB2312"/>
          <w:sz w:val="32"/>
          <w:szCs w:val="32"/>
        </w:rPr>
      </w:pPr>
    </w:p>
    <w:p w:rsidR="00FF2186" w:rsidRDefault="00EF30F0">
      <w:pPr>
        <w:spacing w:line="600" w:lineRule="exact"/>
        <w:jc w:val="center"/>
        <w:outlineLvl w:val="0"/>
        <w:rPr>
          <w:rFonts w:ascii="宋体" w:hAnsi="宋体" w:cs="宋体"/>
          <w:kern w:val="0"/>
          <w:sz w:val="32"/>
          <w:szCs w:val="32"/>
        </w:rPr>
      </w:pPr>
      <w:bookmarkStart w:id="54" w:name="_Toc15396618"/>
      <w:r>
        <w:rPr>
          <w:rFonts w:ascii="宋体" w:hAnsi="宋体" w:cs="宋体" w:hint="eastAsia"/>
          <w:kern w:val="0"/>
          <w:sz w:val="32"/>
          <w:szCs w:val="32"/>
        </w:rPr>
        <w:t>单位预算项目支出绩效自评表（2022年度）见附件1</w:t>
      </w:r>
    </w:p>
    <w:p w:rsidR="00FF2186" w:rsidRDefault="00FF2186">
      <w:pPr>
        <w:spacing w:line="600" w:lineRule="exact"/>
        <w:jc w:val="left"/>
        <w:outlineLvl w:val="0"/>
        <w:rPr>
          <w:rFonts w:ascii="仿宋_GB2312" w:eastAsia="仿宋_GB2312" w:hAnsi="Calibri" w:cs="仿宋"/>
          <w:kern w:val="0"/>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FF2186">
      <w:pPr>
        <w:pStyle w:val="a0"/>
        <w:spacing w:before="93"/>
        <w:rPr>
          <w:rFonts w:hAnsi="Calibri" w:cs="仿宋"/>
          <w:sz w:val="32"/>
          <w:szCs w:val="32"/>
        </w:rPr>
      </w:pPr>
    </w:p>
    <w:p w:rsidR="00FF2186" w:rsidRDefault="00EF30F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55" w:name="_Toc15396619"/>
      <w:bookmarkEnd w:id="52"/>
      <w:bookmarkEnd w:id="54"/>
    </w:p>
    <w:p w:rsidR="00FF2186" w:rsidRDefault="00EF30F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FF2186" w:rsidRDefault="00EF30F0">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FF2186" w:rsidRDefault="00EF30F0">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FF2186" w:rsidRDefault="00EF30F0">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FF2186" w:rsidRDefault="00EF30F0">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FF2186" w:rsidRDefault="00EF30F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FF2186" w:rsidRDefault="00EF30F0">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FF2186" w:rsidRDefault="00EF30F0">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FF2186" w:rsidRDefault="00EF30F0">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FF2186" w:rsidRDefault="00EF30F0">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rsidR="00FF2186" w:rsidRDefault="00EF30F0">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p>
    <w:p w:rsidR="00FF2186" w:rsidRDefault="00EF30F0">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p>
    <w:p w:rsidR="00FF2186" w:rsidRDefault="00EF30F0">
      <w:pPr>
        <w:pStyle w:val="2"/>
        <w:rPr>
          <w:rStyle w:val="2Char"/>
          <w:rFonts w:ascii="仿宋" w:eastAsia="仿宋" w:hAnsi="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p w:rsidR="00FF2186" w:rsidRDefault="00EF30F0">
      <w:pPr>
        <w:spacing w:line="600" w:lineRule="exact"/>
        <w:jc w:val="left"/>
        <w:outlineLvl w:val="0"/>
        <w:rPr>
          <w:rFonts w:ascii="宋体" w:hAnsi="宋体" w:cs="宋体"/>
          <w:kern w:val="0"/>
          <w:sz w:val="32"/>
          <w:szCs w:val="32"/>
        </w:rPr>
      </w:pPr>
      <w:r>
        <w:rPr>
          <w:rFonts w:ascii="宋体" w:hAnsi="宋体" w:cs="宋体" w:hint="eastAsia"/>
          <w:kern w:val="0"/>
          <w:sz w:val="32"/>
          <w:szCs w:val="32"/>
        </w:rPr>
        <w:t>报表详见附件2</w:t>
      </w:r>
    </w:p>
    <w:sectPr w:rsidR="00FF2186" w:rsidSect="001A0500">
      <w:footerReference w:type="default" r:id="rId2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5E" w:rsidRDefault="004F7E5E">
      <w:r>
        <w:separator/>
      </w:r>
    </w:p>
  </w:endnote>
  <w:endnote w:type="continuationSeparator" w:id="1">
    <w:p w:rsidR="004F7E5E" w:rsidRDefault="004F7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D9" w:rsidRDefault="00EC22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FF2186">
    <w:pPr>
      <w:pStyle w:val="a5"/>
      <w:jc w:val="center"/>
    </w:pPr>
  </w:p>
  <w:p w:rsidR="00FF2186" w:rsidRDefault="00FF21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D9" w:rsidRDefault="00EC22D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FF2186">
    <w:pPr>
      <w:pStyle w:val="a5"/>
      <w:jc w:val="center"/>
    </w:pPr>
  </w:p>
  <w:p w:rsidR="00FF2186" w:rsidRDefault="00FF218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C72C0B">
    <w:pPr>
      <w:pStyle w:val="a5"/>
    </w:pPr>
    <w:r>
      <w:rPr>
        <w:noProof/>
      </w:rPr>
      <w:pict>
        <v:shapetype id="_x0000_t202" coordsize="21600,21600" o:spt="202" path="m,l,21600r21600,l21600,xe">
          <v:stroke joinstyle="miter"/>
          <v:path gradientshapeok="t" o:connecttype="rect"/>
        </v:shapetype>
        <v:shape id="文本框 4" o:spid="_x0000_s4098" type="#_x0000_t202" style="position:absolute;margin-left:508.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F2186" w:rsidRDefault="00C72C0B">
                <w:pPr>
                  <w:pStyle w:val="a5"/>
                </w:pPr>
                <w:r>
                  <w:fldChar w:fldCharType="begin"/>
                </w:r>
                <w:r w:rsidR="00EF30F0">
                  <w:instrText xml:space="preserve"> PAGE  \* MERGEFORMAT </w:instrText>
                </w:r>
                <w:r>
                  <w:fldChar w:fldCharType="separate"/>
                </w:r>
                <w:r w:rsidR="00EF30F0">
                  <w:t>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FF2186">
    <w:pPr>
      <w:pStyle w:val="a5"/>
      <w:jc w:val="center"/>
    </w:pPr>
  </w:p>
  <w:p w:rsidR="00FF2186" w:rsidRDefault="00FF218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C72C0B">
    <w:pPr>
      <w:pStyle w:val="a5"/>
      <w:jc w:val="center"/>
    </w:pPr>
    <w:r>
      <w:rPr>
        <w:noProof/>
      </w:rPr>
      <w:pict>
        <v:shapetype id="_x0000_t202" coordsize="21600,21600" o:spt="202" path="m,l,21600r21600,l21600,xe">
          <v:stroke joinstyle="miter"/>
          <v:path gradientshapeok="t" o:connecttype="rect"/>
        </v:shapetype>
        <v:shape id="文本框 7" o:spid="_x0000_s4097" type="#_x0000_t202" style="position:absolute;left:0;text-align:left;margin-left:0;margin-top:0;width:2in;height:2in;z-index:251673600;visibility:visible;mso-wrap-style:none;mso-position-horizontal:in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994781956"/>
                </w:sdtPr>
                <w:sdtContent>
                  <w:p w:rsidR="00FF2186" w:rsidRDefault="00EF30F0">
                    <w:pPr>
                      <w:pStyle w:val="a5"/>
                      <w:jc w:val="center"/>
                    </w:pPr>
                    <w:r>
                      <w:rPr>
                        <w:rFonts w:hint="eastAsia"/>
                      </w:rPr>
                      <w:t>—</w:t>
                    </w:r>
                    <w:r w:rsidR="00C72C0B">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PAGE   \* MERGEFORMAT</w:instrText>
                    </w:r>
                    <w:r w:rsidR="00C72C0B">
                      <w:rPr>
                        <w:rFonts w:asciiTheme="minorEastAsia" w:eastAsiaTheme="minorEastAsia" w:hAnsiTheme="minorEastAsia" w:cstheme="minorEastAsia" w:hint="eastAsia"/>
                        <w:sz w:val="21"/>
                        <w:szCs w:val="21"/>
                      </w:rPr>
                      <w:fldChar w:fldCharType="separate"/>
                    </w:r>
                    <w:r w:rsidR="00917437" w:rsidRPr="00917437">
                      <w:rPr>
                        <w:rFonts w:asciiTheme="minorEastAsia" w:eastAsiaTheme="minorEastAsia" w:hAnsiTheme="minorEastAsia" w:cstheme="minorEastAsia"/>
                        <w:noProof/>
                        <w:sz w:val="21"/>
                        <w:szCs w:val="21"/>
                        <w:lang w:val="zh-CN"/>
                      </w:rPr>
                      <w:t>14</w:t>
                    </w:r>
                    <w:r w:rsidR="00C72C0B">
                      <w:rPr>
                        <w:rFonts w:asciiTheme="minorEastAsia" w:eastAsiaTheme="minorEastAsia" w:hAnsiTheme="minorEastAsia" w:cstheme="minorEastAsia" w:hint="eastAsia"/>
                        <w:sz w:val="21"/>
                        <w:szCs w:val="21"/>
                      </w:rPr>
                      <w:fldChar w:fldCharType="end"/>
                    </w:r>
                    <w:r>
                      <w:rPr>
                        <w:rFonts w:hint="eastAsia"/>
                      </w:rPr>
                      <w:t>—</w:t>
                    </w:r>
                  </w:p>
                </w:sdtContent>
              </w:sdt>
              <w:p w:rsidR="00FF2186" w:rsidRDefault="00FF2186">
                <w:pPr>
                  <w:pStyle w:val="a0"/>
                  <w:spacing w:before="72"/>
                </w:pPr>
              </w:p>
            </w:txbxContent>
          </v:textbox>
          <w10:wrap anchorx="margin"/>
        </v:shape>
      </w:pict>
    </w:r>
  </w:p>
  <w:p w:rsidR="00FF2186" w:rsidRDefault="00FF21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5E" w:rsidRDefault="004F7E5E">
      <w:r>
        <w:separator/>
      </w:r>
    </w:p>
  </w:footnote>
  <w:footnote w:type="continuationSeparator" w:id="1">
    <w:p w:rsidR="004F7E5E" w:rsidRDefault="004F7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D9" w:rsidRDefault="00EC22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86" w:rsidRDefault="00FF218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D9" w:rsidRDefault="00EC22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01"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F7DF3BC2"/>
    <w:rsid w:val="FDF53F32"/>
    <w:rsid w:val="FF5FE661"/>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A0500"/>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1B1D"/>
    <w:rsid w:val="00335A74"/>
    <w:rsid w:val="0034774F"/>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78F4"/>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D2817"/>
    <w:rsid w:val="004E0A2D"/>
    <w:rsid w:val="004E206B"/>
    <w:rsid w:val="004E6DF7"/>
    <w:rsid w:val="004F0FBD"/>
    <w:rsid w:val="004F7E5E"/>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2089"/>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29EC"/>
    <w:rsid w:val="006A3141"/>
    <w:rsid w:val="006A5E34"/>
    <w:rsid w:val="006B2422"/>
    <w:rsid w:val="006B2B9A"/>
    <w:rsid w:val="006C1937"/>
    <w:rsid w:val="006E2D84"/>
    <w:rsid w:val="006F020C"/>
    <w:rsid w:val="007127B7"/>
    <w:rsid w:val="0071798E"/>
    <w:rsid w:val="00726A0A"/>
    <w:rsid w:val="007416B6"/>
    <w:rsid w:val="00746F48"/>
    <w:rsid w:val="00747C1E"/>
    <w:rsid w:val="0075404D"/>
    <w:rsid w:val="0076182A"/>
    <w:rsid w:val="00767B7E"/>
    <w:rsid w:val="007770C3"/>
    <w:rsid w:val="00782769"/>
    <w:rsid w:val="00784D24"/>
    <w:rsid w:val="00785FBA"/>
    <w:rsid w:val="00786E4A"/>
    <w:rsid w:val="007875EB"/>
    <w:rsid w:val="0079426B"/>
    <w:rsid w:val="007A6FDC"/>
    <w:rsid w:val="007D1682"/>
    <w:rsid w:val="007D312A"/>
    <w:rsid w:val="007D3F19"/>
    <w:rsid w:val="007E23B0"/>
    <w:rsid w:val="007E23E5"/>
    <w:rsid w:val="007F1991"/>
    <w:rsid w:val="007F2C2F"/>
    <w:rsid w:val="007F55FC"/>
    <w:rsid w:val="007F5665"/>
    <w:rsid w:val="00800112"/>
    <w:rsid w:val="00813348"/>
    <w:rsid w:val="008253BB"/>
    <w:rsid w:val="008267E7"/>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17437"/>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A0F1E"/>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3E3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0845"/>
    <w:rsid w:val="00B77EA6"/>
    <w:rsid w:val="00B81598"/>
    <w:rsid w:val="00B831E0"/>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A89"/>
    <w:rsid w:val="00C61BFC"/>
    <w:rsid w:val="00C62B85"/>
    <w:rsid w:val="00C65438"/>
    <w:rsid w:val="00C72C0B"/>
    <w:rsid w:val="00C7524A"/>
    <w:rsid w:val="00C87FD8"/>
    <w:rsid w:val="00C91381"/>
    <w:rsid w:val="00C91CBB"/>
    <w:rsid w:val="00C94A0C"/>
    <w:rsid w:val="00CA4208"/>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42D3"/>
    <w:rsid w:val="00DC410D"/>
    <w:rsid w:val="00DC5A81"/>
    <w:rsid w:val="00DC68CA"/>
    <w:rsid w:val="00DC7CBA"/>
    <w:rsid w:val="00DD73B7"/>
    <w:rsid w:val="00DF15EA"/>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22D9"/>
    <w:rsid w:val="00ED1B63"/>
    <w:rsid w:val="00ED3C1F"/>
    <w:rsid w:val="00ED4085"/>
    <w:rsid w:val="00ED420E"/>
    <w:rsid w:val="00ED6FBE"/>
    <w:rsid w:val="00EE2F57"/>
    <w:rsid w:val="00EF30F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2186"/>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5DDFBF86"/>
    <w:rsid w:val="64CA39A1"/>
    <w:rsid w:val="69630ADE"/>
    <w:rsid w:val="6C4A05C8"/>
    <w:rsid w:val="6D3B1A89"/>
    <w:rsid w:val="71BF4EC2"/>
    <w:rsid w:val="72734D90"/>
    <w:rsid w:val="7412278C"/>
    <w:rsid w:val="77BD1379"/>
    <w:rsid w:val="79E7B28D"/>
    <w:rsid w:val="7F9F20EE"/>
    <w:rsid w:val="7FAF0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A050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A05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A05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A050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A0500"/>
    <w:pPr>
      <w:spacing w:beforeLines="30"/>
    </w:pPr>
    <w:rPr>
      <w:rFonts w:ascii="仿宋_GB2312" w:eastAsia="仿宋_GB2312"/>
      <w:kern w:val="0"/>
      <w:sz w:val="30"/>
    </w:rPr>
  </w:style>
  <w:style w:type="paragraph" w:styleId="30">
    <w:name w:val="toc 3"/>
    <w:basedOn w:val="a"/>
    <w:next w:val="a"/>
    <w:uiPriority w:val="39"/>
    <w:unhideWhenUsed/>
    <w:qFormat/>
    <w:rsid w:val="001A0500"/>
    <w:pPr>
      <w:tabs>
        <w:tab w:val="right" w:leader="dot" w:pos="8296"/>
      </w:tabs>
      <w:ind w:leftChars="400" w:left="840"/>
    </w:pPr>
  </w:style>
  <w:style w:type="paragraph" w:styleId="a4">
    <w:name w:val="Balloon Text"/>
    <w:basedOn w:val="a"/>
    <w:link w:val="Char0"/>
    <w:uiPriority w:val="99"/>
    <w:semiHidden/>
    <w:unhideWhenUsed/>
    <w:qFormat/>
    <w:rsid w:val="001A0500"/>
    <w:rPr>
      <w:sz w:val="18"/>
      <w:szCs w:val="18"/>
    </w:rPr>
  </w:style>
  <w:style w:type="paragraph" w:styleId="a5">
    <w:name w:val="footer"/>
    <w:basedOn w:val="a"/>
    <w:link w:val="Char1"/>
    <w:uiPriority w:val="99"/>
    <w:qFormat/>
    <w:rsid w:val="001A050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A050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A050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A0500"/>
    <w:pPr>
      <w:tabs>
        <w:tab w:val="right" w:leader="dot" w:pos="8296"/>
      </w:tabs>
      <w:ind w:leftChars="200" w:left="420"/>
    </w:pPr>
  </w:style>
  <w:style w:type="character" w:styleId="a7">
    <w:name w:val="Strong"/>
    <w:basedOn w:val="a1"/>
    <w:uiPriority w:val="99"/>
    <w:qFormat/>
    <w:rsid w:val="001A0500"/>
    <w:rPr>
      <w:b/>
    </w:rPr>
  </w:style>
  <w:style w:type="character" w:styleId="a8">
    <w:name w:val="Hyperlink"/>
    <w:basedOn w:val="a1"/>
    <w:uiPriority w:val="99"/>
    <w:unhideWhenUsed/>
    <w:qFormat/>
    <w:rsid w:val="001A0500"/>
    <w:rPr>
      <w:color w:val="0000FF" w:themeColor="hyperlink"/>
      <w:u w:val="single"/>
    </w:rPr>
  </w:style>
  <w:style w:type="character" w:customStyle="1" w:styleId="HeaderChar">
    <w:name w:val="Header Char"/>
    <w:basedOn w:val="a1"/>
    <w:uiPriority w:val="99"/>
    <w:semiHidden/>
    <w:qFormat/>
    <w:rsid w:val="001A0500"/>
    <w:rPr>
      <w:rFonts w:ascii="Times New Roman" w:hAnsi="Times New Roman"/>
      <w:sz w:val="18"/>
      <w:szCs w:val="18"/>
    </w:rPr>
  </w:style>
  <w:style w:type="character" w:customStyle="1" w:styleId="Char2">
    <w:name w:val="页眉 Char"/>
    <w:link w:val="a6"/>
    <w:uiPriority w:val="99"/>
    <w:semiHidden/>
    <w:qFormat/>
    <w:locked/>
    <w:rsid w:val="001A0500"/>
    <w:rPr>
      <w:sz w:val="18"/>
    </w:rPr>
  </w:style>
  <w:style w:type="character" w:customStyle="1" w:styleId="FooterChar">
    <w:name w:val="Footer Char"/>
    <w:basedOn w:val="a1"/>
    <w:uiPriority w:val="99"/>
    <w:semiHidden/>
    <w:qFormat/>
    <w:rsid w:val="001A0500"/>
    <w:rPr>
      <w:rFonts w:ascii="Times New Roman" w:hAnsi="Times New Roman"/>
      <w:sz w:val="18"/>
      <w:szCs w:val="18"/>
    </w:rPr>
  </w:style>
  <w:style w:type="character" w:customStyle="1" w:styleId="Char1">
    <w:name w:val="页脚 Char"/>
    <w:link w:val="a5"/>
    <w:uiPriority w:val="99"/>
    <w:qFormat/>
    <w:locked/>
    <w:rsid w:val="001A0500"/>
    <w:rPr>
      <w:sz w:val="18"/>
    </w:rPr>
  </w:style>
  <w:style w:type="character" w:customStyle="1" w:styleId="BodyTextChar">
    <w:name w:val="Body Text Char"/>
    <w:basedOn w:val="a1"/>
    <w:uiPriority w:val="99"/>
    <w:semiHidden/>
    <w:qFormat/>
    <w:rsid w:val="001A0500"/>
    <w:rPr>
      <w:rFonts w:ascii="Times New Roman" w:hAnsi="Times New Roman"/>
      <w:szCs w:val="24"/>
    </w:rPr>
  </w:style>
  <w:style w:type="character" w:customStyle="1" w:styleId="Char">
    <w:name w:val="正文文本 Char"/>
    <w:link w:val="a0"/>
    <w:uiPriority w:val="99"/>
    <w:qFormat/>
    <w:locked/>
    <w:rsid w:val="001A0500"/>
    <w:rPr>
      <w:rFonts w:ascii="仿宋_GB2312" w:eastAsia="仿宋_GB2312" w:hAnsi="Times New Roman"/>
      <w:sz w:val="24"/>
    </w:rPr>
  </w:style>
  <w:style w:type="paragraph" w:customStyle="1" w:styleId="Default">
    <w:name w:val="Default"/>
    <w:uiPriority w:val="99"/>
    <w:qFormat/>
    <w:rsid w:val="001A050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1A0500"/>
    <w:pPr>
      <w:ind w:firstLineChars="200" w:firstLine="420"/>
    </w:pPr>
  </w:style>
  <w:style w:type="character" w:customStyle="1" w:styleId="1Char">
    <w:name w:val="标题 1 Char"/>
    <w:basedOn w:val="a1"/>
    <w:link w:val="1"/>
    <w:uiPriority w:val="9"/>
    <w:qFormat/>
    <w:rsid w:val="001A0500"/>
    <w:rPr>
      <w:rFonts w:ascii="Times New Roman" w:hAnsi="Times New Roman"/>
      <w:b/>
      <w:bCs/>
      <w:kern w:val="44"/>
      <w:sz w:val="44"/>
      <w:szCs w:val="44"/>
    </w:rPr>
  </w:style>
  <w:style w:type="character" w:customStyle="1" w:styleId="2Char">
    <w:name w:val="标题 2 Char"/>
    <w:basedOn w:val="a1"/>
    <w:link w:val="2"/>
    <w:uiPriority w:val="9"/>
    <w:qFormat/>
    <w:rsid w:val="001A050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A05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A0500"/>
    <w:rPr>
      <w:rFonts w:ascii="Times New Roman" w:hAnsi="Times New Roman"/>
      <w:kern w:val="2"/>
      <w:sz w:val="18"/>
      <w:szCs w:val="18"/>
    </w:rPr>
  </w:style>
  <w:style w:type="character" w:customStyle="1" w:styleId="3Char">
    <w:name w:val="标题 3 Char"/>
    <w:basedOn w:val="a1"/>
    <w:link w:val="3"/>
    <w:uiPriority w:val="9"/>
    <w:qFormat/>
    <w:rsid w:val="001A0500"/>
    <w:rPr>
      <w:rFonts w:ascii="Times New Roman" w:hAnsi="Times New Roman"/>
      <w:b/>
      <w:bCs/>
      <w:kern w:val="2"/>
      <w:sz w:val="32"/>
      <w:szCs w:val="32"/>
    </w:rPr>
  </w:style>
  <w:style w:type="paragraph" w:customStyle="1" w:styleId="TOC2">
    <w:name w:val="TOC 标题2"/>
    <w:basedOn w:val="1"/>
    <w:next w:val="a"/>
    <w:uiPriority w:val="39"/>
    <w:unhideWhenUsed/>
    <w:qFormat/>
    <w:rsid w:val="001A05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spPr>
        <a:noFill/>
        <a:ln>
          <a:noFill/>
        </a:ln>
        <a:effectLst/>
      </c:spPr>
    </c:title>
    <c:plotArea>
      <c:layout/>
      <c:barChart>
        <c:barDir val="col"/>
        <c:grouping val="stacked"/>
        <c:ser>
          <c:idx val="0"/>
          <c:order val="0"/>
          <c:tx>
            <c:strRef>
              <c:f>Sheet1!$B$1</c:f>
              <c:strCache>
                <c:ptCount val="1"/>
                <c:pt idx="0">
                  <c:v>系列 1</c:v>
                </c:pt>
              </c:strCache>
            </c:strRef>
          </c:tx>
          <c:spPr>
            <a:solidFill>
              <a:schemeClr val="accent1"/>
            </a:solidFill>
            <a:ln>
              <a:noFill/>
            </a:ln>
            <a:effectLst/>
          </c:spPr>
          <c:dLbls>
            <c:dLbl>
              <c:idx val="0"/>
              <c:layout>
                <c:manualLayout>
                  <c:x val="0"/>
                  <c:y val="-0.35087719298245673"/>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661-4AB3-BE2C-EBE6EE904901}"/>
                </c:ext>
              </c:extLst>
            </c:dLbl>
            <c:dLbl>
              <c:idx val="1"/>
              <c:layout>
                <c:manualLayout>
                  <c:x val="4.8157958102576E-3"/>
                  <c:y val="-0.3426212590299280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661-4AB3-BE2C-EBE6EE904901}"/>
                </c:ext>
              </c:extLst>
            </c:dLbl>
            <c:dLbl>
              <c:idx val="2"/>
              <c:layout>
                <c:manualLayout>
                  <c:x val="-7.2236937153865744E-3"/>
                  <c:y val="-6.19195046439628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661-4AB3-BE2C-EBE6EE904901}"/>
                </c:ext>
              </c:extLst>
            </c:dLbl>
            <c:dLbl>
              <c:idx val="3"/>
              <c:layout>
                <c:manualLayout>
                  <c:x val="-1.7657713987525972E-16"/>
                  <c:y val="-4.9535603715170302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661-4AB3-BE2C-EBE6EE904901}"/>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206.7</c:v>
                </c:pt>
                <c:pt idx="1">
                  <c:v>203.68</c:v>
                </c:pt>
              </c:numCache>
            </c:numRef>
          </c:val>
          <c:extLst xmlns:c16r2="http://schemas.microsoft.com/office/drawing/2015/06/chart">
            <c:ext xmlns:c16="http://schemas.microsoft.com/office/drawing/2014/chart" uri="{C3380CC4-5D6E-409C-BE32-E72D297353CC}">
              <c16:uniqueId val="{00000004-C661-4AB3-BE2C-EBE6EE904901}"/>
            </c:ext>
          </c:extLst>
        </c:ser>
        <c:ser>
          <c:idx val="1"/>
          <c:order val="1"/>
          <c:tx>
            <c:strRef>
              <c:f>Sheet1!$C$1</c:f>
              <c:strCache>
                <c:ptCount val="1"/>
                <c:pt idx="0">
                  <c:v>系列 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C661-4AB3-BE2C-EBE6EE904901}"/>
            </c:ext>
          </c:extLst>
        </c:ser>
        <c:ser>
          <c:idx val="2"/>
          <c:order val="2"/>
          <c:tx>
            <c:strRef>
              <c:f>Sheet1!$D$1</c:f>
              <c:strCache>
                <c:ptCount val="1"/>
                <c:pt idx="0">
                  <c:v>系列 3</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6-C661-4AB3-BE2C-EBE6EE904901}"/>
            </c:ext>
          </c:extLst>
        </c:ser>
        <c:dLbls>
          <c:showVal val="1"/>
        </c:dLbls>
        <c:overlap val="100"/>
        <c:axId val="134462464"/>
        <c:axId val="79364864"/>
      </c:barChart>
      <c:catAx>
        <c:axId val="134462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9364864"/>
        <c:crosses val="autoZero"/>
        <c:auto val="1"/>
        <c:lblAlgn val="ctr"/>
        <c:lblOffset val="100"/>
      </c:catAx>
      <c:valAx>
        <c:axId val="79364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462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9115979151775354"/>
          <c:y val="0.19024077098721801"/>
          <c:w val="0.21286481075249733"/>
          <c:h val="0.36492365698869733"/>
        </c:manualLayout>
      </c:layout>
      <c:pieChart>
        <c:varyColors val="1"/>
        <c:ser>
          <c:idx val="0"/>
          <c:order val="0"/>
          <c:tx>
            <c:strRef>
              <c:f>Sheet1!$B$1</c:f>
              <c:strCache>
                <c:ptCount val="1"/>
                <c:pt idx="0">
                  <c:v>收入决算结构图</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8E2-4EF8-A7C0-2CDA205290B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8E2-4EF8-A7C0-2CDA205290B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8E2-4EF8-A7C0-2CDA205290B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8E2-4EF8-A7C0-2CDA205290BF}"/>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8E2-4EF8-A7C0-2CDA205290BF}"/>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8E2-4EF8-A7C0-2CDA205290BF}"/>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8E2-4EF8-A7C0-2CDA205290BF}"/>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88E2-4EF8-A7C0-2CDA205290BF}"/>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88E2-4EF8-A7C0-2CDA205290BF}"/>
              </c:ext>
            </c:extLst>
          </c:dPt>
          <c:dLbls>
            <c:dLbl>
              <c:idx val="0"/>
              <c:layout>
                <c:manualLayout>
                  <c:x val="0.13243438478208533"/>
                  <c:y val="-8.2559339525284062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8E2-4EF8-A7C0-2CDA205290BF}"/>
                </c:ext>
              </c:extLst>
            </c:dLbl>
            <c:dLbl>
              <c:idx val="1"/>
              <c:layout>
                <c:manualLayout>
                  <c:x val="-0.19985552612569188"/>
                  <c:y val="0.4375644994840046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8E2-4EF8-A7C0-2CDA205290BF}"/>
                </c:ext>
              </c:extLst>
            </c:dLbl>
            <c:dLbl>
              <c:idx val="2"/>
              <c:layout>
                <c:manualLayout>
                  <c:x val="-0.20226342403082126"/>
                  <c:y val="0.2765737874097014"/>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8E2-4EF8-A7C0-2CDA205290BF}"/>
                </c:ext>
              </c:extLst>
            </c:dLbl>
            <c:dLbl>
              <c:idx val="3"/>
              <c:layout>
                <c:manualLayout>
                  <c:x val="-0.10594750782566795"/>
                  <c:y val="0.3426212590299280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8E2-4EF8-A7C0-2CDA205290BF}"/>
                </c:ext>
              </c:extLst>
            </c:dLbl>
            <c:dLbl>
              <c:idx val="4"/>
              <c:layout>
                <c:manualLayout>
                  <c:x val="-0.10594750782566795"/>
                  <c:y val="0.23116615067079499"/>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8E2-4EF8-A7C0-2CDA205290BF}"/>
                </c:ext>
              </c:extLst>
            </c:dLbl>
            <c:dLbl>
              <c:idx val="5"/>
              <c:layout>
                <c:manualLayout>
                  <c:x val="-0.1011317120154111"/>
                  <c:y val="1.8919630080029791E-1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8E2-4EF8-A7C0-2CDA205290BF}"/>
                </c:ext>
              </c:extLst>
            </c:dLbl>
            <c:dLbl>
              <c:idx val="6"/>
              <c:layout>
                <c:manualLayout>
                  <c:x val="-0.20467132193594983"/>
                  <c:y val="0.11558307533539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8E2-4EF8-A7C0-2CDA205290BF}"/>
                </c:ext>
              </c:extLst>
            </c:dLbl>
            <c:dLbl>
              <c:idx val="7"/>
              <c:layout>
                <c:manualLayout>
                  <c:x val="-0.10353960992053914"/>
                  <c:y val="0.11558307533539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88E2-4EF8-A7C0-2CDA205290BF}"/>
                </c:ext>
              </c:extLst>
            </c:dLbl>
            <c:dLbl>
              <c:idx val="8"/>
              <c:layout>
                <c:manualLayout>
                  <c:x val="0.22634240308210926"/>
                  <c:y val="4.1279669762641844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88E2-4EF8-A7C0-2CDA205290B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Sheet1!$A$2:$A$10</c:f>
              <c:strCache>
                <c:ptCount val="9"/>
                <c:pt idx="0">
                  <c:v>一般公共预算财政拨款收入</c:v>
                </c:pt>
                <c:pt idx="1">
                  <c:v>政府性基金预算财政拨款收入</c:v>
                </c:pt>
                <c:pt idx="2">
                  <c:v>国有资本经营预算财政拨款收入</c:v>
                </c:pt>
                <c:pt idx="3">
                  <c:v>上级补助</c:v>
                </c:pt>
                <c:pt idx="4">
                  <c:v>事业收入</c:v>
                </c:pt>
                <c:pt idx="5">
                  <c:v>经营收入</c:v>
                </c:pt>
                <c:pt idx="6">
                  <c:v>附属单位上缴收入</c:v>
                </c:pt>
                <c:pt idx="7">
                  <c:v>其他收入</c:v>
                </c:pt>
                <c:pt idx="8">
                  <c:v>年初结转和结余</c:v>
                </c:pt>
              </c:strCache>
            </c:strRef>
          </c:cat>
          <c:val>
            <c:numRef>
              <c:f>Sheet1!$B$2:$B$10</c:f>
              <c:numCache>
                <c:formatCode>General</c:formatCode>
                <c:ptCount val="9"/>
                <c:pt idx="0">
                  <c:v>203.68</c:v>
                </c:pt>
                <c:pt idx="1">
                  <c:v>0</c:v>
                </c:pt>
                <c:pt idx="2">
                  <c:v>0</c:v>
                </c:pt>
                <c:pt idx="3">
                  <c:v>0</c:v>
                </c:pt>
                <c:pt idx="4">
                  <c:v>0</c:v>
                </c:pt>
                <c:pt idx="5">
                  <c:v>0</c:v>
                </c:pt>
                <c:pt idx="6">
                  <c:v>0</c:v>
                </c:pt>
                <c:pt idx="7">
                  <c:v>0</c:v>
                </c:pt>
                <c:pt idx="8">
                  <c:v>11.25</c:v>
                </c:pt>
              </c:numCache>
            </c:numRef>
          </c:val>
          <c:extLst xmlns:c16r2="http://schemas.microsoft.com/office/drawing/2015/06/chart">
            <c:ext xmlns:c16="http://schemas.microsoft.com/office/drawing/2014/chart" uri="{C3380CC4-5D6E-409C-BE32-E72D297353CC}">
              <c16:uniqueId val="{00000012-88E2-4EF8-A7C0-2CDA205290BF}"/>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支出决算结构图</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E65-43D3-98B7-304870E1359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E65-43D3-98B7-304870E1359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E65-43D3-98B7-304870E1359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E65-43D3-98B7-304870E13599}"/>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E65-43D3-98B7-304870E13599}"/>
              </c:ext>
            </c:extLst>
          </c:dPt>
          <c:dLbls>
            <c:dLbl>
              <c:idx val="0"/>
              <c:layout>
                <c:manualLayout>
                  <c:x val="0.15651336383337433"/>
                  <c:y val="-4.9535603715170302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E65-43D3-98B7-304870E13599}"/>
                </c:ext>
              </c:extLst>
            </c:dLbl>
            <c:dLbl>
              <c:idx val="1"/>
              <c:layout>
                <c:manualLayout>
                  <c:x val="-0.110763303635926"/>
                  <c:y val="2.4767801857585078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E65-43D3-98B7-304870E13599}"/>
                </c:ext>
              </c:extLst>
            </c:dLbl>
            <c:dLbl>
              <c:idx val="2"/>
              <c:layout>
                <c:manualLayout>
                  <c:x val="0.31061882976161848"/>
                  <c:y val="0.4004127966976264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E65-43D3-98B7-304870E13599}"/>
                </c:ext>
              </c:extLst>
            </c:dLbl>
            <c:dLbl>
              <c:idx val="3"/>
              <c:layout>
                <c:manualLayout>
                  <c:x val="0.27209246327955766"/>
                  <c:y val="0.2146542827657381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E65-43D3-98B7-304870E13599}"/>
                </c:ext>
              </c:extLst>
            </c:dLbl>
            <c:dLbl>
              <c:idx val="4"/>
              <c:layout>
                <c:manualLayout>
                  <c:x val="0.238381892607753"/>
                  <c:y val="6.6047471620227019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E65-43D3-98B7-304870E135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192.33</c:v>
                </c:pt>
                <c:pt idx="1">
                  <c:v>11.35000000000001</c:v>
                </c:pt>
                <c:pt idx="2">
                  <c:v>0</c:v>
                </c:pt>
                <c:pt idx="3">
                  <c:v>0</c:v>
                </c:pt>
                <c:pt idx="4">
                  <c:v>0</c:v>
                </c:pt>
              </c:numCache>
            </c:numRef>
          </c:val>
          <c:extLst xmlns:c16r2="http://schemas.microsoft.com/office/drawing/2015/06/chart">
            <c:ext xmlns:c16="http://schemas.microsoft.com/office/drawing/2014/chart" uri="{C3380CC4-5D6E-409C-BE32-E72D297353CC}">
              <c16:uniqueId val="{0000000A-1E65-43D3-98B7-304870E13599}"/>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p>
        </c:rich>
      </c:tx>
      <c:spPr>
        <a:noFill/>
        <a:ln>
          <a:noFill/>
        </a:ln>
        <a:effectLst/>
      </c:spPr>
    </c:title>
    <c:plotArea>
      <c:layout/>
      <c:barChart>
        <c:barDir val="col"/>
        <c:grouping val="stacked"/>
        <c:ser>
          <c:idx val="0"/>
          <c:order val="0"/>
          <c:tx>
            <c:strRef>
              <c:f>Sheet1!$B$1</c:f>
              <c:strCache>
                <c:ptCount val="1"/>
                <c:pt idx="0">
                  <c:v>系列 1</c:v>
                </c:pt>
              </c:strCache>
            </c:strRef>
          </c:tx>
          <c:spPr>
            <a:solidFill>
              <a:schemeClr val="accent1"/>
            </a:solidFill>
            <a:ln>
              <a:noFill/>
            </a:ln>
            <a:effectLst/>
          </c:spPr>
          <c:dLbls>
            <c:dLbl>
              <c:idx val="0"/>
              <c:layout>
                <c:manualLayout>
                  <c:x val="0"/>
                  <c:y val="-0.35087719298245673"/>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227-4008-AB35-4FD11D60CE18}"/>
                </c:ext>
              </c:extLst>
            </c:dLbl>
            <c:dLbl>
              <c:idx val="1"/>
              <c:layout>
                <c:manualLayout>
                  <c:x val="4.8157958102576E-3"/>
                  <c:y val="-0.3426212590299280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227-4008-AB35-4FD11D60CE18}"/>
                </c:ext>
              </c:extLst>
            </c:dLbl>
            <c:dLbl>
              <c:idx val="2"/>
              <c:layout>
                <c:manualLayout>
                  <c:x val="-7.2236937153865744E-3"/>
                  <c:y val="-6.19195046439628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227-4008-AB35-4FD11D60CE18}"/>
                </c:ext>
              </c:extLst>
            </c:dLbl>
            <c:dLbl>
              <c:idx val="3"/>
              <c:layout>
                <c:manualLayout>
                  <c:x val="-1.7657713987525972E-16"/>
                  <c:y val="-4.9535603715170302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227-4008-AB35-4FD11D60CE18}"/>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206.7</c:v>
                </c:pt>
                <c:pt idx="1">
                  <c:v>203.68</c:v>
                </c:pt>
              </c:numCache>
            </c:numRef>
          </c:val>
          <c:extLst xmlns:c16r2="http://schemas.microsoft.com/office/drawing/2015/06/chart">
            <c:ext xmlns:c16="http://schemas.microsoft.com/office/drawing/2014/chart" uri="{C3380CC4-5D6E-409C-BE32-E72D297353CC}">
              <c16:uniqueId val="{00000004-2227-4008-AB35-4FD11D60CE18}"/>
            </c:ext>
          </c:extLst>
        </c:ser>
        <c:ser>
          <c:idx val="1"/>
          <c:order val="1"/>
          <c:tx>
            <c:strRef>
              <c:f>Sheet1!$C$1</c:f>
              <c:strCache>
                <c:ptCount val="1"/>
                <c:pt idx="0">
                  <c:v>系列 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2227-4008-AB35-4FD11D60CE18}"/>
            </c:ext>
          </c:extLst>
        </c:ser>
        <c:ser>
          <c:idx val="2"/>
          <c:order val="2"/>
          <c:tx>
            <c:strRef>
              <c:f>Sheet1!$D$1</c:f>
              <c:strCache>
                <c:ptCount val="1"/>
                <c:pt idx="0">
                  <c:v>系列 3</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6-2227-4008-AB35-4FD11D60CE18}"/>
            </c:ext>
          </c:extLst>
        </c:ser>
        <c:dLbls>
          <c:showVal val="1"/>
        </c:dLbls>
        <c:overlap val="100"/>
        <c:axId val="142364032"/>
        <c:axId val="142378112"/>
      </c:barChart>
      <c:catAx>
        <c:axId val="1423640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378112"/>
        <c:crosses val="autoZero"/>
        <c:auto val="1"/>
        <c:lblAlgn val="ctr"/>
        <c:lblOffset val="100"/>
      </c:catAx>
      <c:valAx>
        <c:axId val="142378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3640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一般公共预算财政拨款支出就算变动情况</a:t>
            </a:r>
          </a:p>
        </c:rich>
      </c:tx>
      <c:spPr>
        <a:noFill/>
        <a:ln>
          <a:noFill/>
        </a:ln>
        <a:effectLst/>
      </c:spPr>
    </c:title>
    <c:plotArea>
      <c:layout/>
      <c:barChart>
        <c:barDir val="col"/>
        <c:grouping val="stacked"/>
        <c:ser>
          <c:idx val="0"/>
          <c:order val="0"/>
          <c:tx>
            <c:strRef>
              <c:f>Sheet1!$B$1</c:f>
              <c:strCache>
                <c:ptCount val="1"/>
                <c:pt idx="0">
                  <c:v>系列 1</c:v>
                </c:pt>
              </c:strCache>
            </c:strRef>
          </c:tx>
          <c:spPr>
            <a:solidFill>
              <a:schemeClr val="accent1"/>
            </a:solidFill>
            <a:ln>
              <a:noFill/>
            </a:ln>
            <a:effectLst/>
          </c:spPr>
          <c:dLbls>
            <c:dLbl>
              <c:idx val="0"/>
              <c:layout>
                <c:manualLayout>
                  <c:x val="0"/>
                  <c:y val="-0.35087719298245673"/>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858-4DC7-8E4D-13BAA8D5A68A}"/>
                </c:ext>
              </c:extLst>
            </c:dLbl>
            <c:dLbl>
              <c:idx val="1"/>
              <c:layout>
                <c:manualLayout>
                  <c:x val="4.8157958102576E-3"/>
                  <c:y val="-0.3426212590299280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858-4DC7-8E4D-13BAA8D5A68A}"/>
                </c:ext>
              </c:extLst>
            </c:dLbl>
            <c:dLbl>
              <c:idx val="2"/>
              <c:layout>
                <c:manualLayout>
                  <c:x val="-7.2236937153865744E-3"/>
                  <c:y val="-6.19195046439628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858-4DC7-8E4D-13BAA8D5A68A}"/>
                </c:ext>
              </c:extLst>
            </c:dLbl>
            <c:dLbl>
              <c:idx val="3"/>
              <c:layout>
                <c:manualLayout>
                  <c:x val="-1.7657713987525972E-16"/>
                  <c:y val="-4.9535603715170302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858-4DC7-8E4D-13BAA8D5A68A}"/>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206.7</c:v>
                </c:pt>
                <c:pt idx="1">
                  <c:v>203.68</c:v>
                </c:pt>
              </c:numCache>
            </c:numRef>
          </c:val>
          <c:extLst xmlns:c16r2="http://schemas.microsoft.com/office/drawing/2015/06/chart">
            <c:ext xmlns:c16="http://schemas.microsoft.com/office/drawing/2014/chart" uri="{C3380CC4-5D6E-409C-BE32-E72D297353CC}">
              <c16:uniqueId val="{00000004-6858-4DC7-8E4D-13BAA8D5A68A}"/>
            </c:ext>
          </c:extLst>
        </c:ser>
        <c:ser>
          <c:idx val="1"/>
          <c:order val="1"/>
          <c:tx>
            <c:strRef>
              <c:f>Sheet1!$C$1</c:f>
              <c:strCache>
                <c:ptCount val="1"/>
                <c:pt idx="0">
                  <c:v>系列 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5-6858-4DC7-8E4D-13BAA8D5A68A}"/>
            </c:ext>
          </c:extLst>
        </c:ser>
        <c:ser>
          <c:idx val="2"/>
          <c:order val="2"/>
          <c:tx>
            <c:strRef>
              <c:f>Sheet1!$D$1</c:f>
              <c:strCache>
                <c:ptCount val="1"/>
                <c:pt idx="0">
                  <c:v>系列 3</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Sheet1!$D$2:$D$3</c:f>
              <c:numCache>
                <c:formatCode>General</c:formatCode>
                <c:ptCount val="2"/>
              </c:numCache>
            </c:numRef>
          </c:val>
          <c:extLst xmlns:c16r2="http://schemas.microsoft.com/office/drawing/2015/06/chart">
            <c:ext xmlns:c16="http://schemas.microsoft.com/office/drawing/2014/chart" uri="{C3380CC4-5D6E-409C-BE32-E72D297353CC}">
              <c16:uniqueId val="{00000006-6858-4DC7-8E4D-13BAA8D5A68A}"/>
            </c:ext>
          </c:extLst>
        </c:ser>
        <c:dLbls>
          <c:showVal val="1"/>
        </c:dLbls>
        <c:overlap val="100"/>
        <c:axId val="142321920"/>
        <c:axId val="142336000"/>
      </c:barChart>
      <c:catAx>
        <c:axId val="142321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336000"/>
        <c:crosses val="autoZero"/>
        <c:auto val="1"/>
        <c:lblAlgn val="ctr"/>
        <c:lblOffset val="100"/>
      </c:catAx>
      <c:valAx>
        <c:axId val="142336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3219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一般公共预算财政拨款支出决算结构图</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EEF-437C-A29A-C08072ABDA7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EEF-437C-A29A-C08072ABDA7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EEF-437C-A29A-C08072ABDA7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EEF-437C-A29A-C08072ABDA75}"/>
              </c:ext>
            </c:extLst>
          </c:dPt>
          <c:dLbls>
            <c:dLbl>
              <c:idx val="0"/>
              <c:layout>
                <c:manualLayout>
                  <c:x val="0.10940426330648013"/>
                  <c:y val="0.148606973663896"/>
                </c:manualLayout>
              </c:layout>
              <c:dLblPos val="bestFit"/>
              <c:showCatName val="1"/>
              <c:showPercent val="1"/>
              <c:separator>
</c:separator>
              <c:extLst xmlns:c16r2="http://schemas.microsoft.com/office/drawing/2015/06/chart">
                <c:ext xmlns:c15="http://schemas.microsoft.com/office/drawing/2012/chart" uri="{CE6537A1-D6FC-4f65-9D91-7224C49458BB}">
                  <c15:layout>
                    <c:manualLayout>
                      <c:w val="0.242623964082506"/>
                      <c:h val="0.155831403427513"/>
                    </c:manualLayout>
                  </c15:layout>
                </c:ext>
                <c:ext xmlns:c16="http://schemas.microsoft.com/office/drawing/2014/chart" uri="{C3380CC4-5D6E-409C-BE32-E72D297353CC}">
                  <c16:uniqueId val="{00000001-2EEF-437C-A29A-C08072ABDA75}"/>
                </c:ext>
              </c:extLst>
            </c:dLbl>
            <c:dLbl>
              <c:idx val="1"/>
              <c:layout>
                <c:manualLayout>
                  <c:x val="4.3342162292318701E-2"/>
                  <c:y val="0.14447884416924717"/>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EF-437C-A29A-C08072ABDA75}"/>
                </c:ext>
              </c:extLst>
            </c:dLbl>
            <c:dLbl>
              <c:idx val="2"/>
              <c:layout>
                <c:manualLayout>
                  <c:x val="-9.6315916205152882E-2"/>
                  <c:y val="-2.4767801857585078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EEF-437C-A29A-C08072ABDA7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社会保障和就业支出</c:v>
                </c:pt>
                <c:pt idx="1">
                  <c:v>住房保障支出</c:v>
                </c:pt>
                <c:pt idx="2">
                  <c:v>农林水支出</c:v>
                </c:pt>
              </c:strCache>
            </c:strRef>
          </c:cat>
          <c:val>
            <c:numRef>
              <c:f>Sheet1!$B$2:$B$5</c:f>
              <c:numCache>
                <c:formatCode>General</c:formatCode>
                <c:ptCount val="4"/>
                <c:pt idx="0">
                  <c:v>28.17</c:v>
                </c:pt>
                <c:pt idx="1">
                  <c:v>15.3</c:v>
                </c:pt>
                <c:pt idx="2">
                  <c:v>160.20999999999998</c:v>
                </c:pt>
              </c:numCache>
            </c:numRef>
          </c:val>
          <c:extLst xmlns:c16r2="http://schemas.microsoft.com/office/drawing/2015/06/chart">
            <c:ext xmlns:c16="http://schemas.microsoft.com/office/drawing/2014/chart" uri="{C3380CC4-5D6E-409C-BE32-E72D297353CC}">
              <c16:uniqueId val="{00000008-2EEF-437C-A29A-C08072ABDA75}"/>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”三公“经费财政拨款支出结构图</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113-4DBB-B11B-C83462A9816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113-4DBB-B11B-C83462A9816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113-4DBB-B11B-C83462A9816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113-4DBB-B11B-C83462A98168}"/>
              </c:ext>
            </c:extLst>
          </c:dPt>
          <c:dLbls>
            <c:dLbl>
              <c:idx val="0"/>
              <c:layout>
                <c:manualLayout>
                  <c:x val="0.18059234288466236"/>
                  <c:y val="2.0639834881320953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113-4DBB-B11B-C83462A98168}"/>
                </c:ext>
              </c:extLst>
            </c:dLbl>
            <c:dLbl>
              <c:idx val="1"/>
              <c:layout>
                <c:manualLayout>
                  <c:x val="0.14688177221285784"/>
                  <c:y val="-0.148606811145511"/>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113-4DBB-B11B-C83462A98168}"/>
                </c:ext>
              </c:extLst>
            </c:dLbl>
            <c:dLbl>
              <c:idx val="2"/>
              <c:layout>
                <c:manualLayout>
                  <c:x val="-0.12521069106669899"/>
                  <c:y val="4.1279669762641844E-2"/>
                </c:manualLayout>
              </c:layout>
              <c:dLblPos val="bestFit"/>
              <c:showCatName val="1"/>
              <c:showPercent val="1"/>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113-4DBB-B11B-C83462A9816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因公出国（出境）</c:v>
                </c:pt>
                <c:pt idx="1">
                  <c:v>公务用车购置及运行维护费</c:v>
                </c:pt>
                <c:pt idx="2">
                  <c:v>公务接待费</c:v>
                </c:pt>
              </c:strCache>
            </c:strRef>
          </c:cat>
          <c:val>
            <c:numRef>
              <c:f>Sheet1!$B$2:$B$5</c:f>
              <c:numCache>
                <c:formatCode>General</c:formatCode>
                <c:ptCount val="4"/>
                <c:pt idx="0">
                  <c:v>0</c:v>
                </c:pt>
                <c:pt idx="1">
                  <c:v>1.06</c:v>
                </c:pt>
                <c:pt idx="2">
                  <c:v>0.11</c:v>
                </c:pt>
              </c:numCache>
            </c:numRef>
          </c:val>
          <c:extLst xmlns:c16r2="http://schemas.microsoft.com/office/drawing/2015/06/chart">
            <c:ext xmlns:c16="http://schemas.microsoft.com/office/drawing/2014/chart" uri="{C3380CC4-5D6E-409C-BE32-E72D297353CC}">
              <c16:uniqueId val="{00000008-9113-4DBB-B11B-C83462A9816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4489</Words>
  <Characters>603</Characters>
  <Application>Microsoft Office Word</Application>
  <DocSecurity>0</DocSecurity>
  <Lines>5</Lines>
  <Paragraphs>10</Paragraphs>
  <ScaleCrop>false</ScaleCrop>
  <Company>四川省财政厅</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49</cp:revision>
  <cp:lastPrinted>2023-07-31T18:35:00Z</cp:lastPrinted>
  <dcterms:created xsi:type="dcterms:W3CDTF">2020-08-05T17:49:00Z</dcterms:created>
  <dcterms:modified xsi:type="dcterms:W3CDTF">2023-07-31T02:08:00Z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