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攀枝花市林业局行政许可事项清单</w:t>
      </w:r>
    </w:p>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32"/>
          <w:szCs w:val="32"/>
          <w:vertAlign w:val="baseline"/>
          <w:lang w:val="en-US" w:eastAsia="zh-CN"/>
        </w:rPr>
        <w:t>（2022年版）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660"/>
        <w:gridCol w:w="705"/>
        <w:gridCol w:w="1455"/>
        <w:gridCol w:w="675"/>
        <w:gridCol w:w="1995"/>
        <w:gridCol w:w="1305"/>
        <w:gridCol w:w="444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Pr>
          <w:p>
            <w:pPr>
              <w:jc w:val="both"/>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《攀枝花市行政许可事项清单（2022年版）》序号</w:t>
            </w:r>
          </w:p>
        </w:tc>
        <w:tc>
          <w:tcPr>
            <w:tcW w:w="660"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国家清单序号</w:t>
            </w:r>
          </w:p>
        </w:tc>
        <w:tc>
          <w:tcPr>
            <w:tcW w:w="705"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林业局序号</w:t>
            </w:r>
          </w:p>
        </w:tc>
        <w:tc>
          <w:tcPr>
            <w:tcW w:w="1455"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事项名称</w:t>
            </w:r>
          </w:p>
        </w:tc>
        <w:tc>
          <w:tcPr>
            <w:tcW w:w="675"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主管部门</w:t>
            </w:r>
          </w:p>
        </w:tc>
        <w:tc>
          <w:tcPr>
            <w:tcW w:w="1995"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实施机关</w:t>
            </w:r>
          </w:p>
        </w:tc>
        <w:tc>
          <w:tcPr>
            <w:tcW w:w="1305"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设定依据</w:t>
            </w:r>
          </w:p>
        </w:tc>
        <w:tc>
          <w:tcPr>
            <w:tcW w:w="4440" w:type="dxa"/>
          </w:tcPr>
          <w:p>
            <w:pPr>
              <w:jc w:val="center"/>
              <w:rPr>
                <w:rFonts w:hint="eastAsia" w:ascii="黑体" w:hAnsi="黑体" w:eastAsia="黑体" w:cs="黑体"/>
                <w:sz w:val="20"/>
                <w:szCs w:val="20"/>
                <w:vertAlign w:val="baseline"/>
                <w:lang w:val="en-US" w:eastAsia="zh-CN"/>
              </w:rPr>
            </w:pPr>
            <w:bookmarkStart w:id="0" w:name="_GoBack"/>
            <w:bookmarkEnd w:id="0"/>
            <w:r>
              <w:rPr>
                <w:rFonts w:hint="eastAsia" w:ascii="黑体" w:hAnsi="黑体" w:eastAsia="黑体" w:cs="黑体"/>
                <w:sz w:val="20"/>
                <w:szCs w:val="20"/>
                <w:vertAlign w:val="baseline"/>
                <w:lang w:val="en-US" w:eastAsia="zh-CN"/>
              </w:rPr>
              <w:t>实施依据</w:t>
            </w:r>
          </w:p>
        </w:tc>
        <w:tc>
          <w:tcPr>
            <w:tcW w:w="1867" w:type="dxa"/>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294</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774</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w:t>
            </w:r>
          </w:p>
        </w:tc>
        <w:tc>
          <w:tcPr>
            <w:tcW w:w="1455" w:type="dxa"/>
            <w:vMerge w:val="restart"/>
          </w:tcPr>
          <w:p>
            <w:pPr>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林草种子生产经营许可证核发</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市林业局，县（区）林业局（东区在行政审批局）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《中华人民共和国种子法》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《中华人民共和国种子法》</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《国务院关于深化“证照分离”改革进一步激发市场主体发展活力的通知》（国发〔2021〕7号）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《林木种子生产经营许可证管理办法》（国家林业局令第40号）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《四川省林木种子管理条例》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《四川省林业和草原局关于印发&lt;四川林草“证照分离”改革全覆盖实施方案&gt;的通知》（川林发〔2021〕33号）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295</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782</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林草植物检疫证书核发</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市森林病虫防治检疫站（包含受省林草局委托实施部分权限），县级植物检疫机构（包含受省林草局委托实施部分权限，东区在行政审批局）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《植物检疫条例》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《植物检疫条例实施细则（林业部分）》（林业部令第4号公布；国家林业局令第26号修改）</w:t>
            </w:r>
          </w:p>
        </w:tc>
        <w:tc>
          <w:tcPr>
            <w:tcW w:w="1867"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出省林业植物检疫证书签发权限受省林草局委托实施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《森林植物检疫技术规程》（林护通字〔1998〕43号）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《四川省植物检疫条例》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《财政部国家发展改革委关于扩大18项行政事业性收费免征范围的通知》（财税〔2016〕42号）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《国家林业和草原局关于进一步改进人造板检疫管理的通知》（林生规〔2019〕4号）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《四川省林业和草原有害生物防治检疫总站公告》（2021年第1号）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296</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784</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建设项目使用林地及在森林和野生动物类型国家级自然保护区建设审批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市林业局（部分权限赋权米易县和盐边县林业局），县（区）林业局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《中华人民共和国自然保护区条例》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《建设项目使用林地审核审批管理办法》（国家林草局令第35号）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《在国家级自然保护区修筑设施审批管理暂行办法》（国家林草局令第50号）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《中华人民共和国森林法实施条例》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《国家林业和草原局公告》（2021年第2号）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《国家林业和草原局关于印发&lt;建设项目使用林地审核审批管理规范&gt;的通知》（林资规〔2021〕5号）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《森林和野生动物类型自然保护区管理办法》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《四川省人民政府关于开展扩权强县试点工作的实施意见》（川府发〔2007〕58号）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《四川省林业厅关于进一步规范和加强建设项目使用林地审核审批管理的通知》（川林发〔2017〕65号）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297</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785</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4</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建设项目使用草原审批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市林业局，县（区）林业局（东区在行政审批局）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《中华人民共和国草原法》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《中华人民共和国草原法》</w:t>
            </w:r>
          </w:p>
        </w:tc>
        <w:tc>
          <w:tcPr>
            <w:tcW w:w="1867" w:type="dxa"/>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《国家林业和草原局公告》（2021年第2号）</w:t>
            </w:r>
          </w:p>
        </w:tc>
        <w:tc>
          <w:tcPr>
            <w:tcW w:w="1867" w:type="dxa"/>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《草原征占用审核审批管理规范》（林草规〔2022〕2号）</w:t>
            </w:r>
          </w:p>
        </w:tc>
        <w:tc>
          <w:tcPr>
            <w:tcW w:w="1867" w:type="dxa"/>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《四川省&lt;中华人民共和国草原法&gt;实施办法》</w:t>
            </w:r>
          </w:p>
        </w:tc>
        <w:tc>
          <w:tcPr>
            <w:tcW w:w="1867" w:type="dxa"/>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298</w:t>
            </w:r>
          </w:p>
        </w:tc>
        <w:tc>
          <w:tcPr>
            <w:tcW w:w="660" w:type="dxa"/>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786</w:t>
            </w:r>
          </w:p>
        </w:tc>
        <w:tc>
          <w:tcPr>
            <w:tcW w:w="705" w:type="dxa"/>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5</w:t>
            </w:r>
          </w:p>
        </w:tc>
        <w:tc>
          <w:tcPr>
            <w:tcW w:w="145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林木采伐许可证核发</w:t>
            </w:r>
          </w:p>
        </w:tc>
        <w:tc>
          <w:tcPr>
            <w:tcW w:w="67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市林业局（部分权限赋权米易县和盐边县林业局），县（区）林业局（东区在行政审批局）</w:t>
            </w:r>
          </w:p>
        </w:tc>
        <w:tc>
          <w:tcPr>
            <w:tcW w:w="130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w:t>
            </w:r>
          </w:p>
        </w:tc>
        <w:tc>
          <w:tcPr>
            <w:tcW w:w="1867"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1.市级部分权限下放给扩权试点县实施</w:t>
            </w:r>
          </w:p>
          <w:p>
            <w:pPr>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restart"/>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restart"/>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restart"/>
          </w:tcPr>
          <w:p>
            <w:pPr>
              <w:rPr>
                <w:rFonts w:hint="eastAsia" w:ascii="仿宋_GB2312" w:hAnsi="仿宋_GB2312" w:eastAsia="仿宋_GB2312" w:cs="仿宋_GB2312"/>
                <w:sz w:val="20"/>
                <w:szCs w:val="20"/>
                <w:vertAlign w:val="baseline"/>
                <w:lang w:val="en-US" w:eastAsia="zh-CN"/>
              </w:rPr>
            </w:pPr>
          </w:p>
        </w:tc>
        <w:tc>
          <w:tcPr>
            <w:tcW w:w="675" w:type="dxa"/>
            <w:vMerge w:val="restart"/>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《中华人民共和国森林法实施条例》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《四川省绿化条例》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《四川省林木采伐管理办法》</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《中华人民共和国森林法实施条例》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《四川省人民政府关于开展扩权强县试点工作的实施意见》（川府发〔2007〕58号）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《四川省人民政府关于取消和下放第三批行政审批项目的决定》（川府发〔2013〕63号）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《四川省人民政府关于印发进一步向扩权试点县（市）下放部分市级管理权限目录的通知》（川府发〔2015〕12号）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299</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787</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6</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从事营利性治沙活动许可</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市林业局，县（区）林业局（东区在行政审批局）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《中华人民共和国防沙治沙法》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《中华人民共和国防沙治沙法》</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《四川省&lt;中华人民共和国防沙治沙法&gt;实施办法》</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300</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789</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在风景名胜区内从事建设、设置广告、举办大型游乐活动以及其他影响生态和景观活动许可</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《风景名胜区条例》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《风景名胜区条例》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《四川省风景名胜区条例》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301</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790</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8</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进入自然保护区从事有关活动审批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市林业局（受省林草局委托实施部分权限）</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《中华人民共和国自然保护区条例》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《中华人民共和国自然保护区条例》</w:t>
            </w:r>
          </w:p>
        </w:tc>
        <w:tc>
          <w:tcPr>
            <w:tcW w:w="1867"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受省林草局委托实施进入林业系统自然保护区从事科学研究、教学实习、科学考察、拍摄影片、登山等活动审批权限。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《国务院关于取消和调整一批行政审批项目等事项的决定》（国发〔2015〕11号）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《森林和野生动物类型自然保护区管理办法》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《四川省人民政府关于取消和下放第三批行政审批项目的决定》（川府发〔2013〕63号）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302</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791</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9</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猎捕陆生野生动物审批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《中华人民共和国野生动物保护法》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《中华人民共和国野生动物保护法》</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《中华人民共和国陆生野生动物保护实施条例》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《国家林业局行政许可项目服务指南》（国家林业局公告2016年第12号）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restart"/>
          </w:tcPr>
          <w:p>
            <w:pPr>
              <w:jc w:val="cente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中华人民共和国陆生野生动物保护实施条例》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《四川省〈中华人民共和国野生动物保护法〉实施办法》</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303</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797</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10</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外国人对国家重点保护陆生野生动物进行野外考察或在野外拍摄电影、录像审批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市林业局（受省林草局委托实施）</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《中华人民共和国野生动物保护法》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《中华人民共和国陆生野生动物保护实施条例》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《四川省人民政府关于取消和下放第三批行政审批项目的决定》（川府发〔2013〕63号）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304</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798</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11</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森林草原防火期内在森林草原防火区野外用火审批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县级政府〔由县（区）林业局承办，东区在行政审批局〕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《四川省森林防火条例》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305</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799</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12</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森林草原防火期内在森林草原防火区爆破、勘察和施工等活动审批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市林业局、县（区）林业局</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《四川省森林防火条例》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《四川省林业和草原局公告》（2021年第8号）</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306</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800</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13</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进入森林高火险区、草原防火管制区审批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市政府〔由市林业局承办〕、县级政府（由县（区）林业局承办，东区在行政审批局〕</w:t>
            </w:r>
          </w:p>
        </w:tc>
        <w:tc>
          <w:tcPr>
            <w:tcW w:w="130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《森林防火条例》</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660"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705" w:type="dxa"/>
            <w:vMerge w:val="continue"/>
          </w:tcPr>
          <w:p>
            <w:pPr>
              <w:jc w:val="center"/>
              <w:rPr>
                <w:rFonts w:hint="eastAsia" w:ascii="仿宋_GB2312" w:hAnsi="仿宋_GB2312" w:eastAsia="仿宋_GB2312" w:cs="仿宋_GB2312"/>
                <w:b/>
                <w:bCs/>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《草原防火条例》</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307</w:t>
            </w:r>
          </w:p>
        </w:tc>
        <w:tc>
          <w:tcPr>
            <w:tcW w:w="660"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801</w:t>
            </w:r>
          </w:p>
        </w:tc>
        <w:tc>
          <w:tcPr>
            <w:tcW w:w="705" w:type="dxa"/>
            <w:vMerge w:val="restart"/>
          </w:tcPr>
          <w:p>
            <w:pPr>
              <w:jc w:val="center"/>
              <w:rPr>
                <w:rFonts w:hint="default"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14</w:t>
            </w:r>
          </w:p>
        </w:tc>
        <w:tc>
          <w:tcPr>
            <w:tcW w:w="145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工商企业等社会资本通过流转取得林地经营权审批</w:t>
            </w:r>
          </w:p>
        </w:tc>
        <w:tc>
          <w:tcPr>
            <w:tcW w:w="67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市林业局</w:t>
            </w:r>
          </w:p>
        </w:tc>
        <w:tc>
          <w:tcPr>
            <w:tcW w:w="199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市政府〔由市林业局承办〕、县级政府〔由县（区）林业局承办〕</w:t>
            </w:r>
          </w:p>
        </w:tc>
        <w:tc>
          <w:tcPr>
            <w:tcW w:w="1305" w:type="dxa"/>
            <w:vMerge w:val="restart"/>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《中华人民共和国农村土地承包法》</w:t>
            </w: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《中华人民共和国农村土地承包法》</w:t>
            </w:r>
          </w:p>
        </w:tc>
        <w:tc>
          <w:tcPr>
            <w:tcW w:w="1867" w:type="dxa"/>
            <w:vMerge w:val="restart"/>
          </w:tcPr>
          <w:p>
            <w:pPr>
              <w:rPr>
                <w:rFonts w:hint="eastAsia" w:ascii="仿宋_GB2312" w:hAnsi="仿宋_GB2312" w:eastAsia="仿宋_GB2312" w:cs="仿宋_GB2312"/>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Merge w:val="continue"/>
          </w:tcPr>
          <w:p>
            <w:pPr>
              <w:rPr>
                <w:rFonts w:hint="eastAsia" w:ascii="仿宋_GB2312" w:hAnsi="仿宋_GB2312" w:eastAsia="仿宋_GB2312" w:cs="仿宋_GB2312"/>
                <w:sz w:val="20"/>
                <w:szCs w:val="20"/>
                <w:vertAlign w:val="baseline"/>
                <w:lang w:val="en-US" w:eastAsia="zh-CN"/>
              </w:rPr>
            </w:pPr>
          </w:p>
        </w:tc>
        <w:tc>
          <w:tcPr>
            <w:tcW w:w="660" w:type="dxa"/>
            <w:vMerge w:val="continue"/>
          </w:tcPr>
          <w:p>
            <w:pPr>
              <w:rPr>
                <w:rFonts w:hint="eastAsia" w:ascii="仿宋_GB2312" w:hAnsi="仿宋_GB2312" w:eastAsia="仿宋_GB2312" w:cs="仿宋_GB2312"/>
                <w:sz w:val="20"/>
                <w:szCs w:val="20"/>
                <w:vertAlign w:val="baseline"/>
                <w:lang w:val="en-US" w:eastAsia="zh-CN"/>
              </w:rPr>
            </w:pPr>
          </w:p>
        </w:tc>
        <w:tc>
          <w:tcPr>
            <w:tcW w:w="705" w:type="dxa"/>
            <w:vMerge w:val="continue"/>
          </w:tcPr>
          <w:p>
            <w:pPr>
              <w:rPr>
                <w:rFonts w:hint="eastAsia" w:ascii="仿宋_GB2312" w:hAnsi="仿宋_GB2312" w:eastAsia="仿宋_GB2312" w:cs="仿宋_GB2312"/>
                <w:sz w:val="20"/>
                <w:szCs w:val="20"/>
                <w:vertAlign w:val="baseline"/>
                <w:lang w:val="en-US" w:eastAsia="zh-CN"/>
              </w:rPr>
            </w:pPr>
          </w:p>
        </w:tc>
        <w:tc>
          <w:tcPr>
            <w:tcW w:w="1455" w:type="dxa"/>
            <w:vMerge w:val="continue"/>
          </w:tcPr>
          <w:p>
            <w:pPr>
              <w:rPr>
                <w:rFonts w:hint="eastAsia" w:ascii="仿宋_GB2312" w:hAnsi="仿宋_GB2312" w:eastAsia="仿宋_GB2312" w:cs="仿宋_GB2312"/>
                <w:sz w:val="20"/>
                <w:szCs w:val="20"/>
                <w:vertAlign w:val="baseline"/>
                <w:lang w:val="en-US" w:eastAsia="zh-CN"/>
              </w:rPr>
            </w:pPr>
          </w:p>
        </w:tc>
        <w:tc>
          <w:tcPr>
            <w:tcW w:w="675" w:type="dxa"/>
            <w:vMerge w:val="continue"/>
          </w:tcPr>
          <w:p>
            <w:pPr>
              <w:rPr>
                <w:rFonts w:hint="eastAsia" w:ascii="仿宋_GB2312" w:hAnsi="仿宋_GB2312" w:eastAsia="仿宋_GB2312" w:cs="仿宋_GB2312"/>
                <w:sz w:val="20"/>
                <w:szCs w:val="20"/>
                <w:vertAlign w:val="baseline"/>
                <w:lang w:val="en-US" w:eastAsia="zh-CN"/>
              </w:rPr>
            </w:pPr>
          </w:p>
        </w:tc>
        <w:tc>
          <w:tcPr>
            <w:tcW w:w="1995" w:type="dxa"/>
            <w:vMerge w:val="continue"/>
          </w:tcPr>
          <w:p>
            <w:pPr>
              <w:rPr>
                <w:rFonts w:hint="eastAsia" w:ascii="仿宋_GB2312" w:hAnsi="仿宋_GB2312" w:eastAsia="仿宋_GB2312" w:cs="仿宋_GB2312"/>
                <w:sz w:val="20"/>
                <w:szCs w:val="20"/>
                <w:vertAlign w:val="baseline"/>
                <w:lang w:val="en-US" w:eastAsia="zh-CN"/>
              </w:rPr>
            </w:pPr>
          </w:p>
        </w:tc>
        <w:tc>
          <w:tcPr>
            <w:tcW w:w="1305" w:type="dxa"/>
            <w:vMerge w:val="continue"/>
          </w:tcPr>
          <w:p>
            <w:pPr>
              <w:rPr>
                <w:rFonts w:hint="eastAsia" w:ascii="仿宋_GB2312" w:hAnsi="仿宋_GB2312" w:eastAsia="仿宋_GB2312" w:cs="仿宋_GB2312"/>
                <w:sz w:val="20"/>
                <w:szCs w:val="20"/>
                <w:vertAlign w:val="baseline"/>
                <w:lang w:val="en-US" w:eastAsia="zh-CN"/>
              </w:rPr>
            </w:pPr>
          </w:p>
        </w:tc>
        <w:tc>
          <w:tcPr>
            <w:tcW w:w="4440" w:type="dxa"/>
          </w:tcPr>
          <w:p>
            <w:pPr>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《四川省〈中华人民共和国农村土地承包法〉实施办法》</w:t>
            </w:r>
          </w:p>
        </w:tc>
        <w:tc>
          <w:tcPr>
            <w:tcW w:w="1867" w:type="dxa"/>
            <w:vMerge w:val="continue"/>
          </w:tcPr>
          <w:p>
            <w:pPr>
              <w:rPr>
                <w:rFonts w:hint="eastAsia" w:ascii="仿宋_GB2312" w:hAnsi="仿宋_GB2312" w:eastAsia="仿宋_GB2312" w:cs="仿宋_GB2312"/>
                <w:sz w:val="20"/>
                <w:szCs w:val="20"/>
                <w:vertAlign w:val="baseline"/>
                <w:lang w:val="en-US" w:eastAsia="zh-CN"/>
              </w:rPr>
            </w:pPr>
          </w:p>
        </w:tc>
      </w:tr>
    </w:tbl>
    <w:p>
      <w:pPr>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EBADA"/>
    <w:rsid w:val="3EAB0813"/>
    <w:rsid w:val="508F9265"/>
    <w:rsid w:val="565FC61C"/>
    <w:rsid w:val="5FBFE6B2"/>
    <w:rsid w:val="6FDFEFE1"/>
    <w:rsid w:val="775B2D24"/>
    <w:rsid w:val="77EBA609"/>
    <w:rsid w:val="7DBF3C21"/>
    <w:rsid w:val="F72D9407"/>
    <w:rsid w:val="F7AD4958"/>
    <w:rsid w:val="FBBFF70A"/>
    <w:rsid w:val="FFBFF0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user</cp:lastModifiedBy>
  <cp:lastPrinted>2022-11-24T08:55:00Z</cp:lastPrinted>
  <dcterms:modified xsi:type="dcterms:W3CDTF">2022-12-06T15:10:12Z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